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9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sz w:val="20"/>
          <w:szCs w:val="20"/>
          <w:u w:val="single"/>
          <w:rtl w:val="0"/>
        </w:rPr>
        <w:t xml:space="preserve">3.00% </w:t>
      </w:r>
      <w:r w:rsidDel="00000000" w:rsidR="00000000" w:rsidRPr="00000000">
        <w:rPr>
          <w:rFonts w:ascii="Arial" w:cs="Arial" w:eastAsia="Arial" w:hAnsi="Arial"/>
          <w:strike w:val="1"/>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sz w:val="20"/>
          <w:szCs w:val="20"/>
          <w:u w:val="single"/>
          <w:rtl w:val="0"/>
        </w:rPr>
        <w:t xml:space="preserve">3.25%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i w:val="1"/>
          <w:color w:val="ff0000"/>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E">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i w:val="1"/>
          <w:strike w:val="1"/>
          <w:color w:val="ff0000"/>
          <w:sz w:val="20"/>
          <w:szCs w:val="20"/>
          <w:rtl w:val="0"/>
        </w:rPr>
        <w:t xml:space="preserve"> and</w:t>
      </w:r>
      <w:r w:rsidDel="00000000" w:rsidR="00000000" w:rsidRPr="00000000">
        <w:rPr>
          <w:rFonts w:ascii="Arial" w:cs="Arial" w:eastAsia="Arial" w:hAnsi="Arial"/>
          <w:b w:val="1"/>
          <w:i w:val="1"/>
          <w:color w:val="ff0000"/>
          <w:sz w:val="20"/>
          <w:szCs w:val="20"/>
          <w:u w:val="single"/>
          <w:rtl w:val="0"/>
        </w:rPr>
        <w:t xml:space="preserve">, G</w:t>
      </w:r>
      <w:r w:rsidDel="00000000" w:rsidR="00000000" w:rsidRPr="00000000">
        <w:rPr>
          <w:rFonts w:ascii="Arial" w:cs="Arial" w:eastAsia="Arial" w:hAnsi="Arial"/>
          <w:b w:val="1"/>
          <w:i w:val="1"/>
          <w:color w:val="ff0000"/>
          <w:sz w:val="20"/>
          <w:szCs w:val="20"/>
          <w:u w:val="single"/>
          <w:rtl w:val="0"/>
        </w:rPr>
        <w:t xml:space="preserve">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2F">
      <w:pPr>
        <w:spacing w:after="240" w:lineRule="auto"/>
        <w:ind w:left="0" w:firstLine="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1">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5">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6">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7">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D">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E">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F">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5">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46">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47">
      <w:pPr>
        <w:numPr>
          <w:ilvl w:val="0"/>
          <w:numId w:val="1"/>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spacing w:after="240" w:before="1"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A">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C">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5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5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5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5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5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5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5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p>
    <w:p w:rsidR="00000000" w:rsidDel="00000000" w:rsidP="00000000" w:rsidRDefault="00000000" w:rsidRPr="00000000" w14:paraId="0000005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15.13.1 – Childcare Fund</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15.16 – Professional Development Fund </w:t>
      </w:r>
    </w:p>
    <w:p w:rsidR="00000000" w:rsidDel="00000000" w:rsidP="00000000" w:rsidRDefault="00000000" w:rsidRPr="00000000" w14:paraId="000000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15.22 – Equity Fund</w:t>
      </w:r>
    </w:p>
    <w:p w:rsidR="00000000" w:rsidDel="00000000" w:rsidP="00000000" w:rsidRDefault="00000000" w:rsidRPr="00000000" w14:paraId="0000006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Fund Protection</w:t>
      </w:r>
    </w:p>
    <w:p w:rsidR="00000000" w:rsidDel="00000000" w:rsidP="00000000" w:rsidRDefault="00000000" w:rsidRPr="00000000" w14:paraId="0000006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w:t>
      </w:r>
    </w:p>
    <w:p w:rsidR="00000000" w:rsidDel="00000000" w:rsidP="00000000" w:rsidRDefault="00000000" w:rsidRPr="00000000" w14:paraId="0000006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6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17.10 – Supplemental Benefits </w:t>
      </w:r>
    </w:p>
    <w:p w:rsidR="00000000" w:rsidDel="00000000" w:rsidP="00000000" w:rsidRDefault="00000000" w:rsidRPr="00000000" w14:paraId="0000006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6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6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[April 10]</w:t>
      </w:r>
    </w:p>
    <w:p w:rsidR="00000000" w:rsidDel="00000000" w:rsidP="00000000" w:rsidRDefault="00000000" w:rsidRPr="00000000" w14:paraId="0000006B">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C">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D">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E">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F">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0">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9">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A">
      <w:pPr>
        <w:numPr>
          <w:ilvl w:val="1"/>
          <w:numId w:val="33"/>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B">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D">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F">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numPr>
          <w:ilvl w:val="1"/>
          <w:numId w:val="41"/>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82">
      <w:pPr>
        <w:numPr>
          <w:ilvl w:val="2"/>
          <w:numId w:val="41"/>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3">
      <w:pPr>
        <w:numPr>
          <w:ilvl w:val="0"/>
          <w:numId w:val="13"/>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4">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numPr>
          <w:ilvl w:val="2"/>
          <w:numId w:val="20"/>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7">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9">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B">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C">
      <w:pPr>
        <w:numPr>
          <w:ilvl w:val="3"/>
          <w:numId w:val="23"/>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8D">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E">
      <w:pPr>
        <w:numPr>
          <w:ilvl w:val="3"/>
          <w:numId w:val="23"/>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8F">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0">
      <w:pPr>
        <w:numPr>
          <w:ilvl w:val="2"/>
          <w:numId w:val="34"/>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91">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3">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5">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6">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8">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9">
      <w:pPr>
        <w:numPr>
          <w:ilvl w:val="3"/>
          <w:numId w:val="14"/>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A">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B">
      <w:pPr>
        <w:numPr>
          <w:ilvl w:val="3"/>
          <w:numId w:val="14"/>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C">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D">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E">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0">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2">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A3">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4">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5">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6">
      <w:pPr>
        <w:numPr>
          <w:ilvl w:val="2"/>
          <w:numId w:val="32"/>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A7">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8">
      <w:pPr>
        <w:numPr>
          <w:ilvl w:val="0"/>
          <w:numId w:val="2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A9">
      <w:pPr>
        <w:numPr>
          <w:ilvl w:val="0"/>
          <w:numId w:val="28"/>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AA">
      <w:pPr>
        <w:numPr>
          <w:ilvl w:val="0"/>
          <w:numId w:val="28"/>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AB">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D">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numPr>
          <w:ilvl w:val="0"/>
          <w:numId w:val="28"/>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AF">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numPr>
          <w:ilvl w:val="0"/>
          <w:numId w:val="28"/>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B1">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3">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5">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6">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7">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9">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A">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B">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C">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D">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0">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1">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2">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3">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4">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6">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8">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A">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C">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D">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E">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F">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1">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2">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3">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DE">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DF">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1">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9">
      <w:pPr>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A">
      <w:pPr>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EB">
      <w:pPr>
        <w:widowControl w:val="1"/>
        <w:numPr>
          <w:ilvl w:val="3"/>
          <w:numId w:val="2"/>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ED">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E">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F">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0">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5">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0F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9">
      <w:pPr>
        <w:tabs>
          <w:tab w:val="left" w:leader="none" w:pos="1379"/>
          <w:tab w:val="left" w:leader="none" w:pos="1380"/>
        </w:tabs>
        <w:ind w:left="0" w:right="4" w:firstLine="0"/>
        <w:jc w:val="both"/>
        <w:rPr>
          <w:rFonts w:ascii="Arial" w:cs="Arial" w:eastAsia="Arial" w:hAnsi="Arial"/>
          <w:b w:val="0"/>
          <w:sz w:val="20"/>
          <w:szCs w:val="20"/>
          <w:u w:val="no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0FC">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0FE">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0">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1">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2">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04">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6">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8">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A">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0C">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0E">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0">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1">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3">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5">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6">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7">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19">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1A">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1B">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1C">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1D">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1E">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1F">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1">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2">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3">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4">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6">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8">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2A">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C">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ind w:left="851" w:hanging="851"/>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10.01.3</w:t>
        <w:tab/>
        <w:t xml:space="preserve">The employer shall provide the union with a list of the appointees and the courses to which they are appointed by 31 October</w:t>
      </w:r>
      <w:r w:rsidDel="00000000" w:rsidR="00000000" w:rsidRPr="00000000">
        <w:rPr>
          <w:rFonts w:ascii="Arial" w:cs="Arial" w:eastAsia="Arial" w:hAnsi="Arial"/>
          <w:b w:val="1"/>
          <w:sz w:val="20"/>
          <w:szCs w:val="20"/>
          <w:u w:val="single"/>
          <w:rtl w:val="0"/>
        </w:rPr>
        <w:t xml:space="preserve">, 1 March, and 30 June</w:t>
      </w:r>
      <w:r w:rsidDel="00000000" w:rsidR="00000000" w:rsidRPr="00000000">
        <w:rPr>
          <w:rFonts w:ascii="Arial" w:cs="Arial" w:eastAsia="Arial" w:hAnsi="Arial"/>
          <w:sz w:val="20"/>
          <w:szCs w:val="20"/>
          <w:rtl w:val="0"/>
        </w:rPr>
        <w:t xml:space="preserve"> of each year </w:t>
      </w:r>
      <w:r w:rsidDel="00000000" w:rsidR="00000000" w:rsidRPr="00000000">
        <w:rPr>
          <w:rFonts w:ascii="Arial" w:cs="Arial" w:eastAsia="Arial" w:hAnsi="Arial"/>
          <w:strike w:val="1"/>
          <w:sz w:val="20"/>
          <w:szCs w:val="20"/>
          <w:rtl w:val="0"/>
        </w:rPr>
        <w:t xml:space="preserve">and by similarly reasonable dates in other sessions</w:t>
      </w:r>
      <w:r w:rsidDel="00000000" w:rsidR="00000000" w:rsidRPr="00000000">
        <w:rPr>
          <w:rFonts w:ascii="Arial" w:cs="Arial" w:eastAsia="Arial" w:hAnsi="Arial"/>
          <w:sz w:val="20"/>
          <w:szCs w:val="20"/>
          <w:rtl w:val="0"/>
        </w:rPr>
        <w:t xml:space="preserve">. Included with the list will be a report on the number of applicants and the number of appointees who self-identified as a member of one or more of the designated employment equity groups, a copy of which will be provided to the </w:t>
      </w:r>
      <w:r w:rsidDel="00000000" w:rsidR="00000000" w:rsidRPr="00000000">
        <w:rPr>
          <w:rFonts w:ascii="Arial" w:cs="Arial" w:eastAsia="Arial" w:hAnsi="Arial"/>
          <w:b w:val="1"/>
          <w:sz w:val="20"/>
          <w:szCs w:val="20"/>
          <w:u w:val="single"/>
          <w:rtl w:val="0"/>
        </w:rPr>
        <w:t xml:space="preserve">CUPE 3903 Equity Officer and the</w:t>
      </w:r>
      <w:r w:rsidDel="00000000" w:rsidR="00000000" w:rsidRPr="00000000">
        <w:rPr>
          <w:rFonts w:ascii="Arial" w:cs="Arial" w:eastAsia="Arial" w:hAnsi="Arial"/>
          <w:sz w:val="20"/>
          <w:szCs w:val="20"/>
          <w:rtl w:val="0"/>
        </w:rPr>
        <w:t xml:space="preserve"> Joint Labour Management Committee.</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38">
      <w:pPr>
        <w:ind w:left="85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3D">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0">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41">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42">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3">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45">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6">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tab/>
        <w:t xml:space="preserve">APPOINTMENT INFORMATION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2"/>
          <w:numId w:val="4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57">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tabs>
          <w:tab w:val="left" w:leader="none" w:pos="70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15.13.1 CHILDCARE FUND [...]</w:t>
      </w:r>
    </w:p>
    <w:p w:rsidR="00000000" w:rsidDel="00000000" w:rsidP="00000000" w:rsidRDefault="00000000" w:rsidRPr="00000000" w14:paraId="00000159">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5E">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1"/>
          <w:numId w:val="43"/>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6D">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72">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17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75">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17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7F">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8C">
      <w:pPr>
        <w:widowControl w:val="1"/>
        <w:rPr>
          <w:b w:val="1"/>
          <w:sz w:val="24"/>
          <w:szCs w:val="24"/>
          <w:u w:val="single"/>
        </w:rPr>
      </w:pPr>
      <w:r w:rsidDel="00000000" w:rsidR="00000000" w:rsidRPr="00000000">
        <w:rPr>
          <w:rtl w:val="0"/>
        </w:rPr>
      </w:r>
    </w:p>
    <w:p w:rsidR="00000000" w:rsidDel="00000000" w:rsidP="00000000" w:rsidRDefault="00000000" w:rsidRPr="00000000" w14:paraId="0000018D">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Agreement  – </w:t>
      </w:r>
      <w:r w:rsidDel="00000000" w:rsidR="00000000" w:rsidRPr="00000000">
        <w:rPr>
          <w:rFonts w:ascii="Arial" w:cs="Arial" w:eastAsia="Arial" w:hAnsi="Arial"/>
          <w:b w:val="1"/>
          <w:i w:val="1"/>
          <w:color w:val="ff0000"/>
          <w:sz w:val="20"/>
          <w:szCs w:val="20"/>
          <w:u w:val="single"/>
          <w:rtl w:val="0"/>
        </w:rPr>
        <w:t xml:space="preserve">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191">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2">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Union and the Employer agree that at each of the </w:t>
      </w:r>
      <w:r w:rsidDel="00000000" w:rsidR="00000000" w:rsidRPr="00000000">
        <w:rPr>
          <w:rFonts w:ascii="Arial" w:cs="Arial" w:eastAsia="Arial" w:hAnsi="Arial"/>
          <w:b w:val="1"/>
          <w:i w:val="1"/>
          <w:strike w:val="1"/>
          <w:color w:val="ff0000"/>
          <w:sz w:val="20"/>
          <w:szCs w:val="20"/>
          <w:u w:val="single"/>
          <w:rtl w:val="0"/>
        </w:rPr>
        <w:t xml:space="preserve">November</w:t>
      </w:r>
      <w:r w:rsidDel="00000000" w:rsidR="00000000" w:rsidRPr="00000000">
        <w:rPr>
          <w:rFonts w:ascii="Arial" w:cs="Arial" w:eastAsia="Arial" w:hAnsi="Arial"/>
          <w:b w:val="1"/>
          <w:i w:val="1"/>
          <w:color w:val="ff0000"/>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93">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4">
      <w:pPr>
        <w:numPr>
          <w:ilvl w:val="0"/>
          <w:numId w:val="36"/>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Data that the Employer provides to CUPE in advance of these meetings; and</w:t>
      </w:r>
    </w:p>
    <w:p w:rsidR="00000000" w:rsidDel="00000000" w:rsidP="00000000" w:rsidRDefault="00000000" w:rsidRPr="00000000" w14:paraId="00000195">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6">
      <w:pPr>
        <w:numPr>
          <w:ilvl w:val="0"/>
          <w:numId w:val="22"/>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197">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8">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Two </w:t>
      </w:r>
      <w:r w:rsidDel="00000000" w:rsidR="00000000" w:rsidRPr="00000000">
        <w:rPr>
          <w:rFonts w:ascii="Arial" w:cs="Arial" w:eastAsia="Arial" w:hAnsi="Arial"/>
          <w:b w:val="1"/>
          <w:i w:val="1"/>
          <w:color w:val="ff0000"/>
          <w:sz w:val="20"/>
          <w:szCs w:val="20"/>
          <w:u w:val="single"/>
          <w:rtl w:val="0"/>
        </w:rPr>
        <w:t xml:space="preserve">Four weeks in advance of a scheduled meeting, the Employer will provide the union with </w:t>
      </w:r>
      <w:r w:rsidDel="00000000" w:rsidR="00000000" w:rsidRPr="00000000">
        <w:rPr>
          <w:rFonts w:ascii="Arial" w:cs="Arial" w:eastAsia="Arial" w:hAnsi="Arial"/>
          <w:b w:val="1"/>
          <w:i w:val="1"/>
          <w:color w:val="ff0000"/>
          <w:sz w:val="20"/>
          <w:szCs w:val="20"/>
          <w:u w:val="single"/>
          <w:rtl w:val="0"/>
        </w:rPr>
        <w:t xml:space="preserve">the following non-confidential aggregate data as available through EWB regarding; </w:t>
      </w:r>
    </w:p>
    <w:p w:rsidR="00000000" w:rsidDel="00000000" w:rsidP="00000000" w:rsidRDefault="00000000" w:rsidRPr="00000000" w14:paraId="00000199">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aggregate data regarding</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newly medically accommodated employees in the CUPE 3903 bargaining units,</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including </w:t>
      </w:r>
      <w:r w:rsidDel="00000000" w:rsidR="00000000" w:rsidRPr="00000000">
        <w:rPr>
          <w:rFonts w:ascii="Arial" w:cs="Arial" w:eastAsia="Arial" w:hAnsi="Arial"/>
          <w:b w:val="1"/>
          <w:i w:val="1"/>
          <w:strike w:val="1"/>
          <w:color w:val="ff0000"/>
          <w:sz w:val="20"/>
          <w:szCs w:val="20"/>
          <w:u w:val="single"/>
          <w:rtl w:val="0"/>
        </w:rPr>
        <w:t xml:space="preserve">non-confidential</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information regarding the nature of the accommodation provided.</w:t>
      </w:r>
    </w:p>
    <w:p w:rsidR="00000000" w:rsidDel="00000000" w:rsidP="00000000" w:rsidRDefault="00000000" w:rsidRPr="00000000" w14:paraId="0000019A">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b.</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9B">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C">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D">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E">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9F">
      <w:pPr>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0">
      <w:pPr>
        <w:spacing w:before="100" w:lineRule="auto"/>
        <w:ind w:left="0"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2">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1A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1A4">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and Article 10.18 (Drug &amp; Paramedical Services)</w:t>
      </w:r>
    </w:p>
    <w:p w:rsidR="00000000" w:rsidDel="00000000" w:rsidP="00000000" w:rsidRDefault="00000000" w:rsidRPr="00000000" w14:paraId="000001A5">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 and Article 10.18 (Dental Plan)</w:t>
      </w:r>
    </w:p>
    <w:p w:rsidR="00000000" w:rsidDel="00000000" w:rsidP="00000000" w:rsidRDefault="00000000" w:rsidRPr="00000000" w14:paraId="000001A6">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10.17.1 and 10.18 (Vision Plan)</w:t>
      </w:r>
    </w:p>
    <w:p w:rsidR="00000000" w:rsidDel="00000000" w:rsidP="00000000" w:rsidRDefault="00000000" w:rsidRPr="00000000" w14:paraId="000001A7">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10.14.2, 10.16.2, and 10.17.2, (10.19) (Benefits Extension)</w:t>
      </w:r>
    </w:p>
    <w:p w:rsidR="00000000" w:rsidDel="00000000" w:rsidP="00000000" w:rsidRDefault="00000000" w:rsidRPr="00000000" w14:paraId="000001A8">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(Drug and Paramedical Services Plan)</w:t>
      </w:r>
    </w:p>
    <w:p w:rsidR="00000000" w:rsidDel="00000000" w:rsidP="00000000" w:rsidRDefault="00000000" w:rsidRPr="00000000" w14:paraId="000001A9">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p>
    <w:p w:rsidR="00000000" w:rsidDel="00000000" w:rsidP="00000000" w:rsidRDefault="00000000" w:rsidRPr="00000000" w14:paraId="000001AA">
      <w:pPr>
        <w:numPr>
          <w:ilvl w:val="0"/>
          <w:numId w:val="17"/>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 Childcare Fund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1AB">
      <w:pPr>
        <w:numPr>
          <w:ilvl w:val="0"/>
          <w:numId w:val="17"/>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15.14 (Graduate Student Bursary Fund)</w:t>
      </w:r>
      <w:r w:rsidDel="00000000" w:rsidR="00000000" w:rsidRPr="00000000">
        <w:rPr>
          <w:rtl w:val="0"/>
        </w:rPr>
      </w:r>
    </w:p>
    <w:p w:rsidR="00000000" w:rsidDel="00000000" w:rsidP="00000000" w:rsidRDefault="00000000" w:rsidRPr="00000000" w14:paraId="000001AC">
      <w:pPr>
        <w:numPr>
          <w:ilvl w:val="0"/>
          <w:numId w:val="17"/>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15.20 (UHIP Fund)</w:t>
      </w:r>
      <w:r w:rsidDel="00000000" w:rsidR="00000000" w:rsidRPr="00000000">
        <w:rPr>
          <w:rtl w:val="0"/>
        </w:rPr>
      </w:r>
    </w:p>
    <w:p w:rsidR="00000000" w:rsidDel="00000000" w:rsidP="00000000" w:rsidRDefault="00000000" w:rsidRPr="00000000" w14:paraId="000001AD">
      <w:pPr>
        <w:numPr>
          <w:ilvl w:val="0"/>
          <w:numId w:val="17"/>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15.27 CUPE 3903 Benefits Fund</w:t>
      </w:r>
      <w:r w:rsidDel="00000000" w:rsidR="00000000" w:rsidRPr="00000000">
        <w:rPr>
          <w:rtl w:val="0"/>
        </w:rPr>
      </w:r>
    </w:p>
    <w:p w:rsidR="00000000" w:rsidDel="00000000" w:rsidP="00000000" w:rsidRDefault="00000000" w:rsidRPr="00000000" w14:paraId="000001AE">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15.30 (Support Fund for Members Experiencing Racial Discrimination, Harassment, and Violence)</w:t>
      </w:r>
    </w:p>
    <w:p w:rsidR="00000000" w:rsidDel="00000000" w:rsidP="00000000" w:rsidRDefault="00000000" w:rsidRPr="00000000" w14:paraId="000001AF">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(Mentoring Fund)</w:t>
      </w:r>
    </w:p>
    <w:p w:rsidR="00000000" w:rsidDel="00000000" w:rsidP="00000000" w:rsidRDefault="00000000" w:rsidRPr="00000000" w14:paraId="000001B0">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p>
    <w:p w:rsidR="00000000" w:rsidDel="00000000" w:rsidP="00000000" w:rsidRDefault="00000000" w:rsidRPr="00000000" w14:paraId="000001B1">
      <w:pPr>
        <w:numPr>
          <w:ilvl w:val="0"/>
          <w:numId w:val="1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1B2">
      <w:pPr>
        <w:numPr>
          <w:ilvl w:val="0"/>
          <w:numId w:val="17"/>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Additional Funding for Priority Pool Members</w:t>
      </w:r>
    </w:p>
    <w:p w:rsidR="00000000" w:rsidDel="00000000" w:rsidP="00000000" w:rsidRDefault="00000000" w:rsidRPr="00000000" w14:paraId="000001B3">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and Article 10.18 (Drug &amp; Paramedical Services)</w:t>
      </w:r>
    </w:p>
    <w:p w:rsidR="00000000" w:rsidDel="00000000" w:rsidP="00000000" w:rsidRDefault="00000000" w:rsidRPr="00000000" w14:paraId="000001B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1B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 and Article 10.18 (Dental Plan)</w:t>
      </w:r>
    </w:p>
    <w:p w:rsidR="00000000" w:rsidDel="00000000" w:rsidP="00000000" w:rsidRDefault="00000000" w:rsidRPr="00000000" w14:paraId="000001B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for Orthodontics for members and dependents</w:t>
      </w:r>
    </w:p>
    <w:p w:rsidR="00000000" w:rsidDel="00000000" w:rsidP="00000000" w:rsidRDefault="00000000" w:rsidRPr="00000000" w14:paraId="000001B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10.17.1 and 10.18 (Vision Plan)</w:t>
      </w:r>
    </w:p>
    <w:p w:rsidR="00000000" w:rsidDel="00000000" w:rsidP="00000000" w:rsidRDefault="00000000" w:rsidRPr="00000000" w14:paraId="000001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1B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B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10.14.2, 10.16.2, and 10.17.2, (10.19) (Benefits Extension)</w:t>
      </w:r>
    </w:p>
    <w:p w:rsidR="00000000" w:rsidDel="00000000" w:rsidP="00000000" w:rsidRDefault="00000000" w:rsidRPr="00000000" w14:paraId="000001B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1B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(Drug and Paramedical Services Plan)</w:t>
      </w:r>
    </w:p>
    <w:p w:rsidR="00000000" w:rsidDel="00000000" w:rsidP="00000000" w:rsidRDefault="00000000" w:rsidRPr="00000000" w14:paraId="000001C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1C1">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1C2">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w:t>
      </w:r>
      <w:r w:rsidDel="00000000" w:rsidR="00000000" w:rsidRPr="00000000">
        <w:rPr>
          <w:rFonts w:ascii="Arial" w:cs="Arial" w:eastAsia="Arial" w:hAnsi="Arial"/>
          <w:b w:val="1"/>
          <w:sz w:val="20"/>
          <w:szCs w:val="20"/>
          <w:u w:val="single"/>
          <w:rtl w:val="0"/>
        </w:rPr>
        <w:t xml:space="preserve">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color w:val="000000"/>
          <w:sz w:val="20"/>
          <w:szCs w:val="20"/>
          <w:u w:val="single"/>
          <w:rtl w:val="0"/>
        </w:rPr>
        <w:t xml:space="preserve">.</w:t>
      </w:r>
    </w:p>
    <w:p w:rsidR="00000000" w:rsidDel="00000000" w:rsidP="00000000" w:rsidRDefault="00000000" w:rsidRPr="00000000" w14:paraId="000001C3">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1C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1C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1C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1C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1C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1C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1C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1CB">
      <w:pPr>
        <w:spacing w:after="240" w:lineRule="auto"/>
        <w:ind w:left="1080" w:firstLine="0"/>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CC">
      <w:pPr>
        <w:spacing w:after="240" w:lineRule="auto"/>
        <w:ind w:left="108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 </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widowControl w:val="1"/>
        <w:numPr>
          <w:ilvl w:val="0"/>
          <w:numId w:val="39"/>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15.13 </w:t>
        <w:tab/>
        <w:t xml:space="preserve">CHILDCARE FUND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1D3">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5">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i w:val="1"/>
          <w:color w:val="ff0000"/>
          <w:sz w:val="20"/>
          <w:szCs w:val="20"/>
          <w:rtl w:val="0"/>
        </w:rPr>
        <w:t xml:space="preserve">$60,000</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D7">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 </w:t>
      </w:r>
      <w:r w:rsidDel="00000000" w:rsidR="00000000" w:rsidRPr="00000000">
        <w:rPr>
          <w:rFonts w:ascii="Arial" w:cs="Arial" w:eastAsia="Arial" w:hAnsi="Arial"/>
          <w:b w:val="1"/>
          <w:i w:val="1"/>
          <w:color w:val="ff0000"/>
          <w:sz w:val="20"/>
          <w:szCs w:val="20"/>
          <w:rtl w:val="0"/>
        </w:rPr>
        <w:t xml:space="preserve">$60,000 </w:t>
      </w:r>
      <w:r w:rsidDel="00000000" w:rsidR="00000000" w:rsidRPr="00000000">
        <w:rPr>
          <w:rFonts w:ascii="Arial" w:cs="Arial" w:eastAsia="Arial" w:hAnsi="Arial"/>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1D9">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 </w:t>
      </w:r>
      <w:r w:rsidDel="00000000" w:rsidR="00000000" w:rsidRPr="00000000">
        <w:rPr>
          <w:rFonts w:ascii="Arial" w:cs="Arial" w:eastAsia="Arial" w:hAnsi="Arial"/>
          <w:b w:val="1"/>
          <w:i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$300,000 </w:t>
      </w:r>
      <w:r w:rsidDel="00000000" w:rsidR="00000000" w:rsidRPr="00000000">
        <w:rPr>
          <w:rFonts w:ascii="Arial" w:cs="Arial" w:eastAsia="Arial" w:hAnsi="Arial"/>
          <w:i w:val="1"/>
          <w:strike w:val="1"/>
          <w:color w:val="ff0000"/>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DB">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widowControl w:val="1"/>
        <w:numPr>
          <w:ilvl w:val="0"/>
          <w:numId w:val="39"/>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15.14 (Graduate Student Bursary Fund)</w:t>
      </w:r>
    </w:p>
    <w:p w:rsidR="00000000" w:rsidDel="00000000" w:rsidP="00000000" w:rsidRDefault="00000000" w:rsidRPr="00000000" w14:paraId="000001DD">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strike w:val="1"/>
          <w:sz w:val="20"/>
          <w:szCs w:val="20"/>
          <w:rtl w:val="0"/>
        </w:rPr>
        <w:t xml:space="preserve">The</w:t>
      </w:r>
      <w:r w:rsidDel="00000000" w:rsidR="00000000" w:rsidRPr="00000000">
        <w:rPr>
          <w:rFonts w:ascii="Arial" w:cs="Arial" w:eastAsia="Arial" w:hAnsi="Arial"/>
          <w:b w:val="1"/>
          <w:sz w:val="20"/>
          <w:szCs w:val="20"/>
          <w:u w:val="single"/>
          <w:rtl w:val="0"/>
        </w:rPr>
        <w:t xml:space="preserve">Effective September 1, 2023, the</w:t>
      </w:r>
      <w:r w:rsidDel="00000000" w:rsidR="00000000" w:rsidRPr="00000000">
        <w:rPr>
          <w:rFonts w:ascii="Arial" w:cs="Arial" w:eastAsia="Arial" w:hAnsi="Arial"/>
          <w:sz w:val="20"/>
          <w:szCs w:val="20"/>
          <w:rtl w:val="0"/>
        </w:rPr>
        <w:t xml:space="preserve"> amount allocated to the fund shall be </w:t>
      </w:r>
      <w:r w:rsidDel="00000000" w:rsidR="00000000" w:rsidRPr="00000000">
        <w:rPr>
          <w:rFonts w:ascii="Arial" w:cs="Arial" w:eastAsia="Arial" w:hAnsi="Arial"/>
          <w:b w:val="1"/>
          <w:sz w:val="20"/>
          <w:szCs w:val="20"/>
          <w:u w:val="single"/>
          <w:rtl w:val="0"/>
        </w:rPr>
        <w:t xml:space="preserve">$245,000</w:t>
      </w:r>
      <w:r w:rsidDel="00000000" w:rsidR="00000000" w:rsidRPr="00000000">
        <w:rPr>
          <w:rFonts w:ascii="Arial" w:cs="Arial" w:eastAsia="Arial" w:hAnsi="Arial"/>
          <w:strike w:val="1"/>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p w:rsidR="00000000" w:rsidDel="00000000" w:rsidP="00000000" w:rsidRDefault="00000000" w:rsidRPr="00000000" w14:paraId="000001D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0">
      <w:pPr>
        <w:numPr>
          <w:ilvl w:val="0"/>
          <w:numId w:val="39"/>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15.20 (UHIP Fund)</w:t>
      </w:r>
    </w:p>
    <w:p w:rsidR="00000000" w:rsidDel="00000000" w:rsidP="00000000" w:rsidRDefault="00000000" w:rsidRPr="00000000" w14:paraId="000001E1">
      <w:pPr>
        <w:ind w:left="72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E2">
      <w:pPr>
        <w:widowControl w:val="1"/>
        <w:spacing w:after="200" w:lineRule="auto"/>
        <w:ind w:left="1440" w:firstLine="0"/>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$95,000.</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 </w:t>
      </w:r>
    </w:p>
    <w:p w:rsidR="00000000" w:rsidDel="00000000" w:rsidP="00000000" w:rsidRDefault="00000000" w:rsidRPr="00000000" w14:paraId="000001E3">
      <w:pPr>
        <w:numPr>
          <w:ilvl w:val="0"/>
          <w:numId w:val="39"/>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15.27 (CUPE 3903 BENEFITS FUND)</w:t>
      </w:r>
    </w:p>
    <w:p w:rsidR="00000000" w:rsidDel="00000000" w:rsidP="00000000" w:rsidRDefault="00000000" w:rsidRPr="00000000" w14:paraId="000001E4">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E5">
      <w:pPr>
        <w:widowControl w:val="1"/>
        <w:spacing w:after="200" w:lineRule="auto"/>
        <w:ind w:left="1440"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 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1E6">
      <w:pPr>
        <w:ind w:left="1418"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7">
      <w:pPr>
        <w:numPr>
          <w:ilvl w:val="0"/>
          <w:numId w:val="39"/>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(Support Fund for Members Experiencing Racial Discrimination, Harassment, and Violence)</w:t>
      </w:r>
    </w:p>
    <w:p w:rsidR="00000000" w:rsidDel="00000000" w:rsidP="00000000" w:rsidRDefault="00000000" w:rsidRPr="00000000" w14:paraId="000001E8">
      <w:pPr>
        <w:ind w:left="1440" w:hanging="73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9">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rtl w:val="0"/>
        </w:rPr>
        <w:t xml:space="preserve">15.30</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1EA">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EB">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1EC">
      <w:pPr>
        <w:spacing w:after="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15.31 (Mentoring Fund)</w:t>
      </w:r>
    </w:p>
    <w:p w:rsidR="00000000" w:rsidDel="00000000" w:rsidP="00000000" w:rsidRDefault="00000000" w:rsidRPr="00000000" w14:paraId="000001E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The University will establish a Mentoring Fund, in the amount of $10,000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1F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1F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3">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1F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5">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1F6">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1F8">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9">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w:t>
      </w:r>
      <w:r w:rsidDel="00000000" w:rsidR="00000000" w:rsidRPr="00000000">
        <w:rPr>
          <w:rFonts w:ascii="Arial" w:cs="Arial" w:eastAsia="Arial" w:hAnsi="Arial"/>
          <w:b w:val="1"/>
          <w:sz w:val="20"/>
          <w:szCs w:val="20"/>
          <w:u w:val="single"/>
          <w:rtl w:val="0"/>
        </w:rPr>
        <w:t xml:space="preserve">on ratification of the 2023-26 Collective Agreement the employer will pay to the Union </w:t>
      </w:r>
      <w:r w:rsidDel="00000000" w:rsidR="00000000" w:rsidRPr="00000000">
        <w:rPr>
          <w:rFonts w:ascii="Arial" w:cs="Arial" w:eastAsia="Arial" w:hAnsi="Arial"/>
          <w:b w:val="1"/>
          <w:sz w:val="20"/>
          <w:szCs w:val="20"/>
          <w:u w:val="single"/>
          <w:rtl w:val="0"/>
        </w:rPr>
        <w:t xml:space="preserve">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FA">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B">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1FC">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numPr>
          <w:ilvl w:val="0"/>
          <w:numId w:val="39"/>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Academic Extension</w:t>
      </w:r>
    </w:p>
    <w:p w:rsidR="00000000" w:rsidDel="00000000" w:rsidP="00000000" w:rsidRDefault="00000000" w:rsidRPr="00000000" w14:paraId="00000200">
      <w:pPr>
        <w:tabs>
          <w:tab w:val="left" w:leader="none"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1">
      <w:pPr>
        <w:tabs>
          <w:tab w:val="left" w:leader="none" w:pos="1701"/>
        </w:tabs>
        <w:spacing w:line="288" w:lineRule="auto"/>
        <w:jc w:val="center"/>
        <w:rPr>
          <w:rFonts w:ascii="Arial" w:cs="Arial" w:eastAsia="Arial" w:hAnsi="Arial"/>
          <w:b w:val="1"/>
          <w:i w:val="1"/>
          <w:sz w:val="20"/>
          <w:szCs w:val="20"/>
          <w:highlight w:val="yellow"/>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sz w:val="20"/>
          <w:szCs w:val="20"/>
          <w:highlight w:val="yellow"/>
          <w:u w:val="single"/>
          <w:rtl w:val="0"/>
        </w:rPr>
        <w:t xml:space="preserve">[Union Counter April 4, 2024 – Academic Extension]</w:t>
      </w:r>
    </w:p>
    <w:p w:rsidR="00000000" w:rsidDel="00000000" w:rsidP="00000000" w:rsidRDefault="00000000" w:rsidRPr="00000000" w14:paraId="00000202">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03">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04">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05">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0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08">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0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0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0D">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E">
      <w:pPr>
        <w:tabs>
          <w:tab w:val="left" w:leader="none" w:pos="1701"/>
        </w:tabs>
        <w:spacing w:after="200" w:line="288"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0F">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1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numPr>
          <w:ilvl w:val="0"/>
          <w:numId w:val="8"/>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12">
      <w:pPr>
        <w:numPr>
          <w:ilvl w:val="1"/>
          <w:numId w:val="8"/>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13">
      <w:pPr>
        <w:numPr>
          <w:ilvl w:val="1"/>
          <w:numId w:val="8"/>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14">
      <w:pPr>
        <w:numPr>
          <w:ilvl w:val="1"/>
          <w:numId w:val="8"/>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15">
      <w:pPr>
        <w:numPr>
          <w:ilvl w:val="0"/>
          <w:numId w:val="38"/>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16">
      <w:pPr>
        <w:numPr>
          <w:ilvl w:val="0"/>
          <w:numId w:val="38"/>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1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numPr>
          <w:ilvl w:val="0"/>
          <w:numId w:val="24"/>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sz w:val="20"/>
          <w:szCs w:val="20"/>
          <w:u w:val="single"/>
          <w:rtl w:val="0"/>
        </w:rPr>
        <w:t xml:space="preserve"> P</w:t>
      </w:r>
      <w:r w:rsidDel="00000000" w:rsidR="00000000" w:rsidRPr="00000000">
        <w:rPr>
          <w:rFonts w:ascii="Arial" w:cs="Arial" w:eastAsia="Arial" w:hAnsi="Arial"/>
          <w:sz w:val="20"/>
          <w:szCs w:val="20"/>
          <w:rtl w:val="0"/>
        </w:rPr>
        <w:t xml:space="preserve">arties.</w:t>
      </w:r>
      <w:r w:rsidDel="00000000" w:rsidR="00000000" w:rsidRPr="00000000">
        <w:rPr>
          <w:rtl w:val="0"/>
        </w:rPr>
      </w:r>
    </w:p>
    <w:p w:rsidR="00000000" w:rsidDel="00000000" w:rsidP="00000000" w:rsidRDefault="00000000" w:rsidRPr="00000000" w14:paraId="0000021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1C">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1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1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1">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2">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5">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6">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2A">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B">
      <w:pPr>
        <w:numPr>
          <w:ilvl w:val="0"/>
          <w:numId w:val="35"/>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2C">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D">
      <w:pPr>
        <w:numPr>
          <w:ilvl w:val="0"/>
          <w:numId w:val="26"/>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2E">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2F">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30">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 Additional Funding for Priority Pool Members</w:t>
      </w:r>
    </w:p>
    <w:p w:rsidR="00000000" w:rsidDel="00000000" w:rsidP="00000000" w:rsidRDefault="00000000" w:rsidRPr="00000000" w14:paraId="00000231">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2">
      <w:pPr>
        <w:ind w:left="993" w:hanging="28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234">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widowControl w:val="1"/>
        <w:numPr>
          <w:ilvl w:val="0"/>
          <w:numId w:val="40"/>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236">
      <w:pPr>
        <w:widowControl w:val="1"/>
        <w:numPr>
          <w:ilvl w:val="0"/>
          <w:numId w:val="40"/>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 </w:t>
      </w:r>
      <w:r w:rsidDel="00000000" w:rsidR="00000000" w:rsidRPr="00000000">
        <w:rPr>
          <w:rFonts w:ascii="Arial" w:cs="Arial" w:eastAsia="Arial" w:hAnsi="Arial"/>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7">
      <w:pPr>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8">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ind w:left="851"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u w:val="single"/>
          <w:rtl w:val="0"/>
        </w:rPr>
        <w:t xml:space="preserve">The minimum guarantee is an amount of extra funding above the priority pool entitlement over the 12-month period. </w:t>
      </w:r>
      <w:r w:rsidDel="00000000" w:rsidR="00000000" w:rsidRPr="00000000">
        <w:rPr>
          <w:rFonts w:ascii="Arial" w:cs="Arial" w:eastAsia="Arial" w:hAnsi="Arial"/>
          <w:sz w:val="20"/>
          <w:szCs w:val="20"/>
          <w:rtl w:val="0"/>
        </w:rPr>
        <w:t xml:space="preserve">The minimum guarantee will be $5000 in 2008-09; 2009-10; and 2010-11; </w:t>
      </w:r>
      <w:r w:rsidDel="00000000" w:rsidR="00000000" w:rsidRPr="00000000">
        <w:rPr>
          <w:rFonts w:ascii="Arial" w:cs="Arial" w:eastAsia="Arial" w:hAnsi="Arial"/>
          <w:b w:val="1"/>
          <w:sz w:val="20"/>
          <w:szCs w:val="20"/>
          <w:u w:val="single"/>
          <w:rtl w:val="0"/>
        </w:rPr>
        <w:t xml:space="preserve">$5384 for 2022-2023;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paying international tuition fees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$10,000 for 2023-2024 for members of the bargaining unit in the priority pool who are paying international tuition fees.</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of extra funding above the priority pool entitlement over the 12-month period. </w:t>
      </w:r>
    </w:p>
    <w:p w:rsidR="00000000" w:rsidDel="00000000" w:rsidP="00000000" w:rsidRDefault="00000000" w:rsidRPr="00000000" w14:paraId="0000023A">
      <w:pPr>
        <w:ind w:left="85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23B">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D">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23E">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$5384 In 2016-2017</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$10,000 for 2023-2024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240">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ind w:left="851"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Fonts w:ascii="Arial" w:cs="Arial" w:eastAsia="Arial" w:hAnsi="Arial"/>
          <w:b w:val="1"/>
          <w:sz w:val="20"/>
          <w:szCs w:val="20"/>
          <w:u w:val="single"/>
          <w:rtl w:val="0"/>
        </w:rPr>
        <w:t xml:space="preserve"> By no later than September 1, 2023 except as otherwise provided in the Collective Agreement all GAships for the purpose of satisfying the Minimum Guarantee ($5384 for 2022-2023 for members of the bargaining unit in the priority pool who pay domestic tuition fees,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b w:val="1"/>
          <w:sz w:val="20"/>
          <w:szCs w:val="20"/>
          <w:u w:val="single"/>
          <w:rtl w:val="0"/>
        </w:rPr>
        <w:t xml:space="preserve"> $8,467 for 2022-2023 for members of the bargaining unit in the priority pool who pay international tuition fees, $10,000 for 2023-2024 for members of the bargaining unit in the priority pool who pay international tuition fees) shall be electronically posted by the hiring unit on a site accessible to employees and the Union. </w:t>
      </w:r>
    </w:p>
    <w:p w:rsidR="00000000" w:rsidDel="00000000" w:rsidP="00000000" w:rsidRDefault="00000000" w:rsidRPr="00000000" w14:paraId="00000242">
      <w:pPr>
        <w:ind w:left="851" w:firstLine="0"/>
        <w:rPr>
          <w:sz w:val="20"/>
          <w:szCs w:val="20"/>
        </w:rPr>
      </w:pPr>
      <w:r w:rsidDel="00000000" w:rsidR="00000000" w:rsidRPr="00000000">
        <w:rPr>
          <w:rtl w:val="0"/>
        </w:rPr>
      </w:r>
    </w:p>
    <w:p w:rsidR="00000000" w:rsidDel="00000000" w:rsidP="00000000" w:rsidRDefault="00000000" w:rsidRPr="00000000" w14:paraId="00000243">
      <w:pPr>
        <w:ind w:left="851"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spacing w:after="240" w:before="1" w:lineRule="auto"/>
        <w:ind w:left="567"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6">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47">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48">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9">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4A">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4B">
      <w:pPr>
        <w:numPr>
          <w:ilvl w:val="0"/>
          <w:numId w:val="42"/>
        </w:numPr>
        <w:ind w:left="720" w:hanging="360"/>
        <w:rPr>
          <w:rFonts w:ascii="Arial" w:cs="Arial" w:eastAsia="Arial" w:hAnsi="Arial"/>
          <w:b w:val="1"/>
          <w:strike w:val="1"/>
          <w:color w:val="ff0000"/>
          <w:sz w:val="20"/>
          <w:szCs w:val="20"/>
        </w:rPr>
      </w:pPr>
      <w:r w:rsidDel="00000000" w:rsidR="00000000" w:rsidRPr="00000000">
        <w:rPr>
          <w:rFonts w:ascii="Arial" w:cs="Arial" w:eastAsia="Arial" w:hAnsi="Arial"/>
          <w:b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4C">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 </w:t>
      </w:r>
      <w:r w:rsidDel="00000000" w:rsidR="00000000" w:rsidRPr="00000000">
        <w:rPr>
          <w:rFonts w:ascii="Arial" w:cs="Arial" w:eastAsia="Arial" w:hAnsi="Arial"/>
          <w:i w:val="1"/>
          <w:sz w:val="20"/>
          <w:szCs w:val="20"/>
          <w:rtl w:val="0"/>
        </w:rPr>
        <w:t xml:space="preserve"> [*mistakenly placed in agreed to in April 4 document]</w:t>
      </w:r>
      <w:r w:rsidDel="00000000" w:rsidR="00000000" w:rsidRPr="00000000">
        <w:rPr>
          <w:rtl w:val="0"/>
        </w:rPr>
      </w:r>
    </w:p>
    <w:p w:rsidR="00000000" w:rsidDel="00000000" w:rsidP="00000000" w:rsidRDefault="00000000" w:rsidRPr="00000000" w14:paraId="0000024D">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4E">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4F">
      <w:pPr>
        <w:numPr>
          <w:ilvl w:val="0"/>
          <w:numId w:val="4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15.10 (Code Based Extension Requests)</w:t>
      </w:r>
      <w:r w:rsidDel="00000000" w:rsidR="00000000" w:rsidRPr="00000000">
        <w:rPr>
          <w:rFonts w:ascii="Arial" w:cs="Arial" w:eastAsia="Arial" w:hAnsi="Arial"/>
          <w:i w:val="1"/>
          <w:color w:val="ff0000"/>
          <w:sz w:val="20"/>
          <w:szCs w:val="20"/>
          <w:highlight w:val="yellow"/>
          <w:rtl w:val="0"/>
        </w:rPr>
        <w:t xml:space="preserve">[April 10 Counter]</w:t>
      </w:r>
      <w:r w:rsidDel="00000000" w:rsidR="00000000" w:rsidRPr="00000000">
        <w:rPr>
          <w:rtl w:val="0"/>
        </w:rPr>
      </w:r>
    </w:p>
    <w:p w:rsidR="00000000" w:rsidDel="00000000" w:rsidP="00000000" w:rsidRDefault="00000000" w:rsidRPr="00000000" w14:paraId="00000250">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 </w:t>
      </w:r>
      <w:r w:rsidDel="00000000" w:rsidR="00000000" w:rsidRPr="00000000">
        <w:rPr>
          <w:rFonts w:ascii="Arial" w:cs="Arial" w:eastAsia="Arial" w:hAnsi="Arial"/>
          <w:i w:val="1"/>
          <w:color w:val="ff0000"/>
          <w:sz w:val="20"/>
          <w:szCs w:val="20"/>
          <w:highlight w:val="yellow"/>
          <w:rtl w:val="0"/>
        </w:rPr>
        <w:t xml:space="preserve">[April 10 Counter]</w:t>
      </w:r>
      <w:r w:rsidDel="00000000" w:rsidR="00000000" w:rsidRPr="00000000">
        <w:rPr>
          <w:rtl w:val="0"/>
        </w:rPr>
      </w:r>
    </w:p>
    <w:p w:rsidR="00000000" w:rsidDel="00000000" w:rsidP="00000000" w:rsidRDefault="00000000" w:rsidRPr="00000000" w14:paraId="00000251">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2">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3">
      <w:pPr>
        <w:numPr>
          <w:ilvl w:val="0"/>
          <w:numId w:val="5"/>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Accommodations for Racialized Members Who Experience Racial Discrimination, Harassment, and Violence</w:t>
      </w:r>
      <w:r w:rsidDel="00000000" w:rsidR="00000000" w:rsidRPr="00000000">
        <w:rPr>
          <w:rtl w:val="0"/>
        </w:rPr>
      </w:r>
    </w:p>
    <w:p w:rsidR="00000000" w:rsidDel="00000000" w:rsidP="00000000" w:rsidRDefault="00000000" w:rsidRPr="00000000" w14:paraId="0000025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(PILOT PROJECT)</w:t>
      </w:r>
    </w:p>
    <w:p w:rsidR="00000000" w:rsidDel="00000000" w:rsidP="00000000" w:rsidRDefault="00000000" w:rsidRPr="00000000" w14:paraId="0000025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5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For the duration of the Pilot Project, the Employer will provide workplace accommodations </w:t>
      </w:r>
      <w:r w:rsidDel="00000000" w:rsidR="00000000" w:rsidRPr="00000000">
        <w:rPr>
          <w:rFonts w:ascii="Arial" w:cs="Arial" w:eastAsia="Arial" w:hAnsi="Arial"/>
          <w:strike w:val="1"/>
          <w:sz w:val="20"/>
          <w:szCs w:val="20"/>
          <w:rtl w:val="0"/>
        </w:rPr>
        <w:t xml:space="preserve">a range of supports and services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5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A">
      <w:pPr>
        <w:tabs>
          <w:tab w:val="left" w:leader="none" w:pos="1379"/>
          <w:tab w:val="left" w:leader="none" w:pos="1380"/>
        </w:tabs>
        <w:ind w:left="1583.9999999999998" w:hanging="863.9999999999998"/>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and housing. </w:t>
      </w:r>
      <w:r w:rsidDel="00000000" w:rsidR="00000000" w:rsidRPr="00000000">
        <w:rPr>
          <w:rFonts w:ascii="Arial" w:cs="Arial" w:eastAsia="Arial" w:hAnsi="Arial"/>
          <w:strike w:val="1"/>
          <w:sz w:val="20"/>
          <w:szCs w:val="20"/>
          <w:rtl w:val="0"/>
        </w:rPr>
        <w:t xml:space="preserve">and/or extracurricular activities. </w:t>
      </w:r>
    </w:p>
    <w:p w:rsidR="00000000" w:rsidDel="00000000" w:rsidP="00000000" w:rsidRDefault="00000000" w:rsidRPr="00000000" w14:paraId="0000025B">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r w:rsidDel="00000000" w:rsidR="00000000" w:rsidRPr="00000000">
        <w:rPr>
          <w:rtl w:val="0"/>
        </w:rPr>
      </w:r>
    </w:p>
    <w:p w:rsidR="00000000" w:rsidDel="00000000" w:rsidP="00000000" w:rsidRDefault="00000000" w:rsidRPr="00000000" w14:paraId="0000025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E">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61">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2">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63">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64">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5">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6">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67">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8">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69">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Canada as a whole (and for General Workforce Population Equity Groups):</w:t>
      </w:r>
    </w:p>
    <w:p w:rsidR="00000000" w:rsidDel="00000000" w:rsidP="00000000" w:rsidRDefault="00000000" w:rsidRPr="00000000" w14:paraId="0000026A">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50.4% (48.2%)</w:t>
      </w:r>
    </w:p>
    <w:p w:rsidR="00000000" w:rsidDel="00000000" w:rsidP="00000000" w:rsidRDefault="00000000" w:rsidRPr="00000000" w14:paraId="0000026B">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22.3% (21.3%)</w:t>
      </w:r>
    </w:p>
    <w:p w:rsidR="00000000" w:rsidDel="00000000" w:rsidP="00000000" w:rsidRDefault="00000000" w:rsidRPr="00000000" w14:paraId="0000026C">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4.9% (4.0%)</w:t>
      </w:r>
    </w:p>
    <w:p w:rsidR="00000000" w:rsidDel="00000000" w:rsidP="00000000" w:rsidRDefault="00000000" w:rsidRPr="00000000" w14:paraId="0000026D">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22% (9.1%)</w:t>
      </w:r>
    </w:p>
    <w:p w:rsidR="00000000" w:rsidDel="00000000" w:rsidP="00000000" w:rsidRDefault="00000000" w:rsidRPr="00000000" w14:paraId="0000026E">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(Homosexual and Bisexual): 3%</w:t>
      </w:r>
    </w:p>
    <w:p w:rsidR="00000000" w:rsidDel="00000000" w:rsidP="00000000" w:rsidRDefault="00000000" w:rsidRPr="00000000" w14:paraId="0000026F">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Toronto (and for General Workplace Population Equity Groups):</w:t>
      </w:r>
    </w:p>
    <w:p w:rsidR="00000000" w:rsidDel="00000000" w:rsidP="00000000" w:rsidRDefault="00000000" w:rsidRPr="00000000" w14:paraId="00000271">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52% (48.7%)</w:t>
      </w:r>
    </w:p>
    <w:p w:rsidR="00000000" w:rsidDel="00000000" w:rsidP="00000000" w:rsidRDefault="00000000" w:rsidRPr="00000000" w14:paraId="00000272">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52% (48.8%)</w:t>
      </w:r>
    </w:p>
    <w:p w:rsidR="00000000" w:rsidDel="00000000" w:rsidP="00000000" w:rsidRDefault="00000000" w:rsidRPr="00000000" w14:paraId="00000273">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1% (0.8%)</w:t>
      </w:r>
    </w:p>
    <w:p w:rsidR="00000000" w:rsidDel="00000000" w:rsidP="00000000" w:rsidRDefault="00000000" w:rsidRPr="00000000" w14:paraId="00000274">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24.3%</w:t>
      </w:r>
    </w:p>
    <w:p w:rsidR="00000000" w:rsidDel="00000000" w:rsidP="00000000" w:rsidRDefault="00000000" w:rsidRPr="00000000" w14:paraId="00000275">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4-5%</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77">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8">
      <w:pPr>
        <w:numPr>
          <w:ilvl w:val="0"/>
          <w:numId w:val="5"/>
        </w:numPr>
        <w:spacing w:after="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79">
      <w:pPr>
        <w:rPr>
          <w:i w:val="1"/>
          <w:strike w:val="1"/>
          <w:color w:val="ff0000"/>
          <w:sz w:val="20"/>
          <w:szCs w:val="20"/>
        </w:rPr>
      </w:pPr>
      <w:r w:rsidDel="00000000" w:rsidR="00000000" w:rsidRPr="00000000">
        <w:rPr>
          <w:rtl w:val="0"/>
        </w:rPr>
      </w:r>
    </w:p>
    <w:p w:rsidR="00000000" w:rsidDel="00000000" w:rsidP="00000000" w:rsidRDefault="00000000" w:rsidRPr="00000000" w14:paraId="0000027A">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7B">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7C">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27D">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7E">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7F">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0">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281">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2">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83">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4">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285">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numPr>
          <w:ilvl w:val="0"/>
          <w:numId w:val="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w:t>
      </w:r>
    </w:p>
    <w:p w:rsidR="00000000" w:rsidDel="00000000" w:rsidP="00000000" w:rsidRDefault="00000000" w:rsidRPr="00000000" w14:paraId="00000287">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88">
      <w:pPr>
        <w:numPr>
          <w:ilvl w:val="0"/>
          <w:numId w:val="31"/>
        </w:numPr>
        <w:tabs>
          <w:tab w:val="left" w:leader="none" w:pos="1843"/>
        </w:tabs>
        <w:spacing w:before="79" w:lineRule="auto"/>
        <w:ind w:left="1996" w:right="4" w:hanging="425.99999999999994"/>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89">
      <w:pPr>
        <w:numPr>
          <w:ilvl w:val="0"/>
          <w:numId w:val="31"/>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8A">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28C">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8E">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90">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1">
      <w:pPr>
        <w:numPr>
          <w:ilvl w:val="1"/>
          <w:numId w:val="18"/>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92">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numPr>
          <w:ilvl w:val="1"/>
          <w:numId w:val="18"/>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94">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5">
      <w:pPr>
        <w:numPr>
          <w:ilvl w:val="1"/>
          <w:numId w:val="30"/>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96">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numPr>
          <w:ilvl w:val="1"/>
          <w:numId w:val="30"/>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298">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numPr>
          <w:ilvl w:val="1"/>
          <w:numId w:val="30"/>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9A">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numPr>
          <w:ilvl w:val="1"/>
          <w:numId w:val="30"/>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29C">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numPr>
          <w:ilvl w:val="1"/>
          <w:numId w:val="30"/>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29E">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F">
      <w:pPr>
        <w:numPr>
          <w:ilvl w:val="1"/>
          <w:numId w:val="30"/>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2A0">
      <w:pPr>
        <w:numPr>
          <w:ilvl w:val="1"/>
          <w:numId w:val="30"/>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2A1">
      <w:pPr>
        <w:numPr>
          <w:ilvl w:val="1"/>
          <w:numId w:val="30"/>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2A2">
      <w:pPr>
        <w:numPr>
          <w:ilvl w:val="1"/>
          <w:numId w:val="30"/>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2A3">
      <w:pPr>
        <w:numPr>
          <w:ilvl w:val="1"/>
          <w:numId w:val="30"/>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2A4">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A5">
      <w:pPr>
        <w:numPr>
          <w:ilvl w:val="1"/>
          <w:numId w:val="30"/>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2A6">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numPr>
          <w:ilvl w:val="1"/>
          <w:numId w:val="30"/>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2A8">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2AA">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B">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2AC">
      <w:pPr>
        <w:tabs>
          <w:tab w:val="left" w:leader="none" w:pos="1379"/>
          <w:tab w:val="left" w:leader="none" w:pos="1380"/>
        </w:tabs>
        <w:ind w:left="127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D">
      <w:pPr>
        <w:numPr>
          <w:ilvl w:val="1"/>
          <w:numId w:val="30"/>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AE">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numPr>
          <w:ilvl w:val="0"/>
          <w:numId w:val="5"/>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2B0">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2B1">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B2">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3">
      <w:pPr>
        <w:numPr>
          <w:ilvl w:val="0"/>
          <w:numId w:val="5"/>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2B4">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10.05.4 </w:t>
        <w:tab/>
        <w:t xml:space="preserve">No member shall be denied a teaching position where technology is required for the proper instruction of the course owing to a lack of technological knowledge or skill without being provided the opportunity to a) access training to upgrade their skills or b) demonstrate their technological competency.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If a teaching assistant is unable to perform assigned duties due to a lack of technological skills or knowledge they will be assigned different duties or a different teaching assistantship, with no reduction in their remuneration under Article 10.02.</w:t>
      </w:r>
    </w:p>
    <w:p w:rsidR="00000000" w:rsidDel="00000000" w:rsidP="00000000" w:rsidRDefault="00000000" w:rsidRPr="00000000" w14:paraId="000002B5">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6">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2B7">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2B8">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2B9">
      <w:pPr>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2BA">
      <w:pPr>
        <w:tabs>
          <w:tab w:val="left" w:leader="none" w:pos="1701"/>
        </w:tabs>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10.05.7  </w:t>
        <w:tab/>
        <w:t xml:space="preserve">PROTECTION FROM TECHNOLOGY CHANGES</w:t>
      </w:r>
    </w:p>
    <w:p w:rsidR="00000000" w:rsidDel="00000000" w:rsidP="00000000" w:rsidRDefault="00000000" w:rsidRPr="00000000" w14:paraId="000002BB">
      <w:pPr>
        <w:ind w:left="1701"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2BC">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2BD">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2BE">
      <w:pPr>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2B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0">
      <w:pPr>
        <w:tabs>
          <w:tab w:val="left" w:leader="none" w:pos="1701"/>
        </w:tabs>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1">
      <w:pPr>
        <w:numPr>
          <w:ilvl w:val="0"/>
          <w:numId w:val="5"/>
        </w:numPr>
        <w:tabs>
          <w:tab w:val="left" w:leader="none" w:pos="709"/>
        </w:tabs>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15.10 Code Based Extension Requests</w:t>
      </w:r>
      <w:r w:rsidDel="00000000" w:rsidR="00000000" w:rsidRPr="00000000">
        <w:rPr>
          <w:rtl w:val="0"/>
        </w:rPr>
      </w:r>
    </w:p>
    <w:p w:rsidR="00000000" w:rsidDel="00000000" w:rsidP="00000000" w:rsidRDefault="00000000" w:rsidRPr="00000000" w14:paraId="000002C2">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3">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15.10 </w:t>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2C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for each year in which an academic extension is granted.</w:t>
      </w:r>
    </w:p>
    <w:p w:rsidR="00000000" w:rsidDel="00000000" w:rsidP="00000000" w:rsidRDefault="00000000" w:rsidRPr="00000000" w14:paraId="000002C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2C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numPr>
          <w:ilvl w:val="0"/>
          <w:numId w:val="5"/>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CA">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b w:val="1"/>
          <w:i w:val="1"/>
          <w:color w:val="ff0000"/>
          <w:sz w:val="20"/>
          <w:szCs w:val="20"/>
          <w:u w:val="single"/>
          <w:rtl w:val="0"/>
        </w:rPr>
        <w:t xml:space="preserve">for a period of three years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i w:val="1"/>
          <w:strike w:val="1"/>
          <w:color w:val="ff0000"/>
          <w:sz w:val="20"/>
          <w:szCs w:val="20"/>
          <w:rtl w:val="0"/>
        </w:rPr>
        <w:t xml:space="preserve">at least thirty-six </w:t>
      </w:r>
      <w:r w:rsidDel="00000000" w:rsidR="00000000" w:rsidRPr="00000000">
        <w:rPr>
          <w:rFonts w:ascii="Arial" w:cs="Arial" w:eastAsia="Arial" w:hAnsi="Arial"/>
          <w:color w:val="ff0000"/>
          <w:sz w:val="20"/>
          <w:szCs w:val="20"/>
          <w:rtl w:val="0"/>
        </w:rPr>
        <w:t xml:space="preserve">twelve months</w:t>
      </w:r>
      <w:r w:rsidDel="00000000" w:rsidR="00000000" w:rsidRPr="00000000">
        <w:rPr>
          <w:rFonts w:ascii="Arial" w:cs="Arial" w:eastAsia="Arial" w:hAnsi="Arial"/>
          <w:sz w:val="20"/>
          <w:szCs w:val="20"/>
          <w:rtl w:val="0"/>
        </w:rPr>
        <w:t xml:space="preserve">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i w:val="1"/>
          <w:color w:val="ff0000"/>
          <w:sz w:val="20"/>
          <w:szCs w:val="20"/>
          <w:rtl w:val="0"/>
        </w:rPr>
        <w:t xml:space="preserve">one-year </w:t>
      </w:r>
      <w:r w:rsidDel="00000000" w:rsidR="00000000" w:rsidRPr="00000000">
        <w:rPr>
          <w:rFonts w:ascii="Arial" w:cs="Arial" w:eastAsia="Arial" w:hAnsi="Arial"/>
          <w:i w:val="1"/>
          <w:strike w:val="1"/>
          <w:color w:val="ff0000"/>
          <w:sz w:val="20"/>
          <w:szCs w:val="20"/>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2C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ind w:left="1701" w:hanging="992"/>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r w:rsidDel="00000000" w:rsidR="00000000" w:rsidRPr="00000000">
        <w:rPr>
          <w:rtl w:val="0"/>
        </w:rPr>
      </w:r>
    </w:p>
    <w:p w:rsidR="00000000" w:rsidDel="00000000" w:rsidP="00000000" w:rsidRDefault="00000000" w:rsidRPr="00000000" w14:paraId="000002C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992"/>
        <w:jc w:val="both"/>
        <w:rPr>
          <w:rFonts w:ascii="Arial" w:cs="Arial" w:eastAsia="Arial" w:hAnsi="Arial"/>
          <w:b w:val="0"/>
          <w:i w:val="0"/>
          <w:smallCaps w:val="0"/>
          <w:strike w:val="0"/>
          <w:color w:val="000000"/>
          <w:sz w:val="20"/>
          <w:szCs w:val="20"/>
          <w:highlight w:val="red"/>
          <w:u w:val="none"/>
          <w:vertAlign w:val="baseline"/>
        </w:rPr>
      </w:pPr>
      <w:r w:rsidDel="00000000" w:rsidR="00000000" w:rsidRPr="00000000">
        <w:rPr>
          <w:rtl w:val="0"/>
        </w:rPr>
      </w:r>
    </w:p>
    <w:p w:rsidR="00000000" w:rsidDel="00000000" w:rsidP="00000000" w:rsidRDefault="00000000" w:rsidRPr="00000000" w14:paraId="000002D3">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10T22:59:37Z">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1:56:52Z">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DA" w15:done="0"/>
  <w15:commentEx w15:paraId="000002D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3"/>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6">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7">
    <w:lvl w:ilvl="0">
      <w:start w:val="1"/>
      <w:numFmt w:val="decimal"/>
      <w:lvlText w:val="%1."/>
      <w:lvlJc w:val="left"/>
      <w:pPr>
        <w:ind w:left="1672" w:hanging="1229.0000000000005"/>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644" w:hanging="359.9999999999998"/>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6">
    <w:lvl w:ilvl="0">
      <w:start w:val="15"/>
      <w:numFmt w:val="decimal"/>
      <w:lvlText w:val="%1"/>
      <w:lvlJc w:val="left"/>
      <w:pPr>
        <w:ind w:left="473" w:hanging="473"/>
      </w:pPr>
      <w:rPr/>
    </w:lvl>
    <w:lvl w:ilvl="1">
      <w:start w:val="31"/>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9">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2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1">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5"/>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8">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9">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1">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3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3">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3"/>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44">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piRMmRCqo5VcFXd5GPmYUOZvQ==">CgMxLjAaJwoBMBIiCiAIBCocCgtBQUFCS1E0cnpVMBAIGgtBQUFCS1E0cnpVMBonCgExEiIKIAgEKhwKC0FBQUJKeDFFUU04EAgaC0FBQUJKeDFFUU04Iu0ECgtBQUFCS1E0cnpVMBK7BAoLQUFBQktRNHJ6VTASC0FBQUJLUTRyelUw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