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ovzrvuf7ehyh" w:id="0"/>
      <w:bookmarkEnd w:id="0"/>
      <w:r w:rsidDel="00000000" w:rsidR="00000000" w:rsidRPr="00000000">
        <w:rPr>
          <w:rtl w:val="0"/>
        </w:rPr>
        <w:t xml:space="preserve">Schedule 3: Items Requiring </w:t>
      </w:r>
      <w:r w:rsidDel="00000000" w:rsidR="00000000" w:rsidRPr="00000000">
        <w:rPr>
          <w:rtl w:val="0"/>
        </w:rPr>
        <w:t xml:space="preserve">Some</w:t>
      </w:r>
      <w:r w:rsidDel="00000000" w:rsidR="00000000" w:rsidRPr="00000000">
        <w:rPr>
          <w:rtl w:val="0"/>
        </w:rPr>
        <w:t xml:space="preserve"> Discussion</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March 19, 2024</w:t>
      </w:r>
    </w:p>
    <w:p w:rsidR="00000000" w:rsidDel="00000000" w:rsidP="00000000" w:rsidRDefault="00000000" w:rsidRPr="00000000" w14:paraId="00000003">
      <w:pPr>
        <w:rPr>
          <w:b w:val="1"/>
          <w:sz w:val="24"/>
          <w:szCs w:val="24"/>
        </w:rPr>
      </w:pPr>
      <w:r w:rsidDel="00000000" w:rsidR="00000000" w:rsidRPr="00000000">
        <w:rPr>
          <w:rtl w:val="0"/>
        </w:rPr>
        <w:t xml:space="preserve">(Proposal</w:t>
      </w:r>
      <w:r w:rsidDel="00000000" w:rsidR="00000000" w:rsidRPr="00000000">
        <w:rPr>
          <w:rtl w:val="0"/>
        </w:rPr>
        <w:t xml:space="preserve">s important to our members that we think the employer could find some agreement with us</w:t>
      </w:r>
      <w:r w:rsidDel="00000000" w:rsidR="00000000" w:rsidRPr="00000000">
        <w:rPr>
          <w:rtl w:val="0"/>
        </w:rPr>
        <w:t xml:space="preserve">)</w:t>
      </w:r>
      <w:r w:rsidDel="00000000" w:rsidR="00000000" w:rsidRPr="00000000">
        <w:rPr>
          <w:rtl w:val="0"/>
        </w:rPr>
      </w:r>
    </w:p>
    <w:tbl>
      <w:tblPr>
        <w:tblStyle w:val="Table1"/>
        <w:tblW w:w="11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76"/>
        <w:gridCol w:w="3312"/>
        <w:gridCol w:w="2592"/>
        <w:gridCol w:w="1440"/>
        <w:tblGridChange w:id="0">
          <w:tblGrid>
            <w:gridCol w:w="4176"/>
            <w:gridCol w:w="3312"/>
            <w:gridCol w:w="2592"/>
            <w:gridCol w:w="1440"/>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Proposal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b w:val="1"/>
                <w:rtl w:val="0"/>
              </w:rPr>
              <w:t xml:space="preserve">Description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Response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rPr>
            </w:pPr>
            <w:r w:rsidDel="00000000" w:rsidR="00000000" w:rsidRPr="00000000">
              <w:rPr>
                <w:b w:val="1"/>
                <w:rtl w:val="0"/>
              </w:rPr>
              <w:t xml:space="preserve">Notes</w:t>
            </w:r>
          </w:p>
        </w:tc>
      </w:tr>
      <w:tr>
        <w:trPr>
          <w:cantSplit w:val="0"/>
          <w:trHeight w:val="440" w:hRule="atLeast"/>
          <w:tblHeader w:val="0"/>
        </w:trPr>
        <w:tc>
          <w:tcPr>
            <w:gridSpan w:val="4"/>
            <w:shd w:fill="ffd966"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ALL UNITS OR MULTI-UNIT</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Continuation of Library and Email Services Following Completion of Contract </w:t>
            </w:r>
            <w:r w:rsidDel="00000000" w:rsidR="00000000" w:rsidRPr="00000000">
              <w:rPr>
                <w:rtl w:val="0"/>
              </w:rPr>
              <w:t xml:space="preserve">(#61)</w:t>
            </w: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U2 Article 15.28</w:t>
            </w:r>
          </w:p>
          <w:p w:rsidR="00000000" w:rsidDel="00000000" w:rsidP="00000000" w:rsidRDefault="00000000" w:rsidRPr="00000000" w14:paraId="0000000E">
            <w:pPr>
              <w:widowControl w:val="0"/>
              <w:spacing w:line="240" w:lineRule="auto"/>
              <w:rPr/>
            </w:pPr>
            <w:r w:rsidDel="00000000" w:rsidR="00000000" w:rsidRPr="00000000">
              <w:rPr>
                <w:rtl w:val="0"/>
              </w:rPr>
              <w:t xml:space="preserve">U1 15.26</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6"/>
              </w:numPr>
              <w:spacing w:line="240" w:lineRule="auto"/>
              <w:ind w:left="288"/>
              <w:rPr/>
            </w:pPr>
            <w:r w:rsidDel="00000000" w:rsidR="00000000" w:rsidRPr="00000000">
              <w:rPr>
                <w:rtl w:val="0"/>
              </w:rPr>
              <w:t xml:space="preserve">Continuation of work email services after completion of contract</w:t>
            </w:r>
          </w:p>
          <w:p w:rsidR="00000000" w:rsidDel="00000000" w:rsidP="00000000" w:rsidRDefault="00000000" w:rsidRPr="00000000" w14:paraId="00000010">
            <w:pPr>
              <w:widowControl w:val="0"/>
              <w:numPr>
                <w:ilvl w:val="0"/>
                <w:numId w:val="6"/>
              </w:numPr>
              <w:spacing w:line="240" w:lineRule="auto"/>
              <w:ind w:left="288"/>
              <w:rPr/>
            </w:pPr>
            <w:r w:rsidDel="00000000" w:rsidR="00000000" w:rsidRPr="00000000">
              <w:rPr>
                <w:rtl w:val="0"/>
              </w:rPr>
              <w:t xml:space="preserve">Increase continuation of library services from 12 months to 36 months after completion of contract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b w:val="1"/>
                <w:rtl w:val="0"/>
              </w:rPr>
              <w:t xml:space="preserve">UHIP </w:t>
            </w:r>
            <w:r w:rsidDel="00000000" w:rsidR="00000000" w:rsidRPr="00000000">
              <w:rPr>
                <w:b w:val="1"/>
                <w:rtl w:val="0"/>
              </w:rPr>
              <w:t xml:space="preserve">Fund</w:t>
            </w: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U1 Article 15.20</w:t>
            </w:r>
          </w:p>
          <w:p w:rsidR="00000000" w:rsidDel="00000000" w:rsidP="00000000" w:rsidRDefault="00000000" w:rsidRPr="00000000" w14:paraId="00000015">
            <w:pPr>
              <w:widowControl w:val="0"/>
              <w:spacing w:line="240" w:lineRule="auto"/>
              <w:rPr/>
            </w:pPr>
            <w:r w:rsidDel="00000000" w:rsidR="00000000" w:rsidRPr="00000000">
              <w:rPr>
                <w:rtl w:val="0"/>
              </w:rPr>
              <w:t xml:space="preserve">U3 Article 23</w:t>
            </w:r>
          </w:p>
          <w:p w:rsidR="00000000" w:rsidDel="00000000" w:rsidP="00000000" w:rsidRDefault="00000000" w:rsidRPr="00000000" w14:paraId="00000016">
            <w:pPr>
              <w:widowControl w:val="0"/>
              <w:spacing w:line="240" w:lineRule="auto"/>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both"/>
              <w:rPr/>
            </w:pPr>
            <w:r w:rsidDel="00000000" w:rsidR="00000000" w:rsidRPr="00000000">
              <w:rPr>
                <w:rtl w:val="0"/>
              </w:rPr>
              <w:t xml:space="preserve">Increase </w:t>
            </w:r>
            <w:r w:rsidDel="00000000" w:rsidR="00000000" w:rsidRPr="00000000">
              <w:rPr>
                <w:rtl w:val="0"/>
              </w:rPr>
              <w:t xml:space="preserve">fund: </w:t>
            </w:r>
          </w:p>
          <w:p w:rsidR="00000000" w:rsidDel="00000000" w:rsidP="00000000" w:rsidRDefault="00000000" w:rsidRPr="00000000" w14:paraId="00000018">
            <w:pPr>
              <w:widowControl w:val="0"/>
              <w:numPr>
                <w:ilvl w:val="0"/>
                <w:numId w:val="1"/>
              </w:numPr>
              <w:spacing w:line="240" w:lineRule="auto"/>
              <w:ind w:left="720" w:hanging="360"/>
              <w:jc w:val="both"/>
              <w:rPr/>
            </w:pPr>
            <w:r w:rsidDel="00000000" w:rsidR="00000000" w:rsidRPr="00000000">
              <w:rPr>
                <w:rtl w:val="0"/>
              </w:rPr>
              <w:t xml:space="preserve">2023-24: </w:t>
            </w:r>
            <w:r w:rsidDel="00000000" w:rsidR="00000000" w:rsidRPr="00000000">
              <w:rPr>
                <w:b w:val="1"/>
                <w:strike w:val="1"/>
                <w:color w:val="ff0000"/>
                <w:rtl w:val="0"/>
              </w:rPr>
              <w:t xml:space="preserve">15%</w:t>
            </w:r>
            <w:r w:rsidDel="00000000" w:rsidR="00000000" w:rsidRPr="00000000">
              <w:rPr>
                <w:strike w:val="1"/>
                <w:color w:val="ff0000"/>
                <w:rtl w:val="0"/>
              </w:rPr>
              <w:t xml:space="preserve"> </w:t>
            </w:r>
            <w:r w:rsidDel="00000000" w:rsidR="00000000" w:rsidRPr="00000000">
              <w:rPr>
                <w:b w:val="1"/>
                <w:color w:val="ff0000"/>
                <w:rtl w:val="0"/>
              </w:rPr>
              <w:t xml:space="preserve">10%</w:t>
            </w:r>
          </w:p>
          <w:p w:rsidR="00000000" w:rsidDel="00000000" w:rsidP="00000000" w:rsidRDefault="00000000" w:rsidRPr="00000000" w14:paraId="00000019">
            <w:pPr>
              <w:widowControl w:val="0"/>
              <w:numPr>
                <w:ilvl w:val="0"/>
                <w:numId w:val="1"/>
              </w:numPr>
              <w:spacing w:line="240" w:lineRule="auto"/>
              <w:ind w:left="720" w:hanging="360"/>
              <w:jc w:val="both"/>
              <w:rPr/>
            </w:pPr>
            <w:r w:rsidDel="00000000" w:rsidR="00000000" w:rsidRPr="00000000">
              <w:rPr>
                <w:rtl w:val="0"/>
              </w:rPr>
              <w:t xml:space="preserve">2024-25: 2.5%</w:t>
            </w:r>
          </w:p>
          <w:p w:rsidR="00000000" w:rsidDel="00000000" w:rsidP="00000000" w:rsidRDefault="00000000" w:rsidRPr="00000000" w14:paraId="0000001A">
            <w:pPr>
              <w:widowControl w:val="0"/>
              <w:numPr>
                <w:ilvl w:val="0"/>
                <w:numId w:val="1"/>
              </w:numPr>
              <w:spacing w:line="240" w:lineRule="auto"/>
              <w:ind w:left="720" w:hanging="360"/>
              <w:jc w:val="both"/>
              <w:rPr/>
            </w:pPr>
            <w:r w:rsidDel="00000000" w:rsidR="00000000" w:rsidRPr="00000000">
              <w:rPr>
                <w:rtl w:val="0"/>
              </w:rPr>
              <w:t xml:space="preserve">2025-26: 2.5%</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pPr>
            <w:r w:rsidDel="00000000" w:rsidR="00000000" w:rsidRPr="00000000">
              <w:rPr>
                <w:rtl w:val="0"/>
              </w:rPr>
              <w:t xml:space="preserve">Increase fund:</w:t>
            </w:r>
          </w:p>
          <w:p w:rsidR="00000000" w:rsidDel="00000000" w:rsidP="00000000" w:rsidRDefault="00000000" w:rsidRPr="00000000" w14:paraId="0000001C">
            <w:pPr>
              <w:widowControl w:val="0"/>
              <w:numPr>
                <w:ilvl w:val="0"/>
                <w:numId w:val="7"/>
              </w:numPr>
              <w:spacing w:line="240" w:lineRule="auto"/>
              <w:ind w:left="720" w:hanging="360"/>
              <w:jc w:val="both"/>
              <w:rPr/>
            </w:pPr>
            <w:r w:rsidDel="00000000" w:rsidR="00000000" w:rsidRPr="00000000">
              <w:rPr>
                <w:rtl w:val="0"/>
              </w:rPr>
              <w:t xml:space="preserve">2023-24: 1%</w:t>
            </w:r>
          </w:p>
          <w:p w:rsidR="00000000" w:rsidDel="00000000" w:rsidP="00000000" w:rsidRDefault="00000000" w:rsidRPr="00000000" w14:paraId="0000001D">
            <w:pPr>
              <w:widowControl w:val="0"/>
              <w:numPr>
                <w:ilvl w:val="0"/>
                <w:numId w:val="7"/>
              </w:numPr>
              <w:spacing w:line="240" w:lineRule="auto"/>
              <w:ind w:left="720" w:hanging="360"/>
              <w:jc w:val="both"/>
              <w:rPr/>
            </w:pPr>
            <w:r w:rsidDel="00000000" w:rsidR="00000000" w:rsidRPr="00000000">
              <w:rPr>
                <w:rtl w:val="0"/>
              </w:rPr>
              <w:t xml:space="preserve">2024-25: 1%</w:t>
            </w:r>
          </w:p>
          <w:p w:rsidR="00000000" w:rsidDel="00000000" w:rsidP="00000000" w:rsidRDefault="00000000" w:rsidRPr="00000000" w14:paraId="0000001E">
            <w:pPr>
              <w:widowControl w:val="0"/>
              <w:numPr>
                <w:ilvl w:val="0"/>
                <w:numId w:val="7"/>
              </w:numPr>
              <w:spacing w:line="240" w:lineRule="auto"/>
              <w:ind w:left="720" w:hanging="360"/>
              <w:jc w:val="both"/>
              <w:rPr/>
            </w:pPr>
            <w:r w:rsidDel="00000000" w:rsidR="00000000" w:rsidRPr="00000000">
              <w:rPr>
                <w:rtl w:val="0"/>
              </w:rPr>
              <w:t xml:space="preserve">2025-26: 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rPr>
            </w:pPr>
            <w:r w:rsidDel="00000000" w:rsidR="00000000" w:rsidRPr="00000000">
              <w:rPr>
                <w:b w:val="1"/>
                <w:rtl w:val="0"/>
              </w:rPr>
              <w:t xml:space="preserve">Human Rights Code Based Program Extensions</w:t>
            </w:r>
          </w:p>
          <w:p w:rsidR="00000000" w:rsidDel="00000000" w:rsidP="00000000" w:rsidRDefault="00000000" w:rsidRPr="00000000" w14:paraId="00000021">
            <w:pPr>
              <w:widowControl w:val="0"/>
              <w:spacing w:line="240" w:lineRule="auto"/>
              <w:rPr/>
            </w:pPr>
            <w:r w:rsidDel="00000000" w:rsidR="00000000" w:rsidRPr="00000000">
              <w:rPr>
                <w:rtl w:val="0"/>
              </w:rPr>
              <w:t xml:space="preserve">U1 Article 15.10 </w:t>
            </w:r>
          </w:p>
          <w:p w:rsidR="00000000" w:rsidDel="00000000" w:rsidP="00000000" w:rsidRDefault="00000000" w:rsidRPr="00000000" w14:paraId="00000022">
            <w:pPr>
              <w:widowControl w:val="0"/>
              <w:spacing w:line="240" w:lineRule="auto"/>
              <w:rPr/>
            </w:pPr>
            <w:r w:rsidDel="00000000" w:rsidR="00000000" w:rsidRPr="00000000">
              <w:rPr>
                <w:rtl w:val="0"/>
              </w:rPr>
              <w:t xml:space="preserve">U2 Article 15.09</w:t>
            </w:r>
          </w:p>
          <w:p w:rsidR="00000000" w:rsidDel="00000000" w:rsidP="00000000" w:rsidRDefault="00000000" w:rsidRPr="00000000" w14:paraId="00000023">
            <w:pPr>
              <w:widowControl w:val="0"/>
              <w:spacing w:line="240" w:lineRule="auto"/>
              <w:rPr/>
            </w:pPr>
            <w:r w:rsidDel="00000000" w:rsidR="00000000" w:rsidRPr="00000000">
              <w:rPr>
                <w:rtl w:val="0"/>
              </w:rPr>
              <w:t xml:space="preserve">U3 Article 11.06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2"/>
              </w:numPr>
              <w:spacing w:line="240" w:lineRule="auto"/>
              <w:ind w:left="288"/>
              <w:rPr/>
            </w:pPr>
            <w:r w:rsidDel="00000000" w:rsidR="00000000" w:rsidRPr="00000000">
              <w:rPr>
                <w:rtl w:val="0"/>
              </w:rPr>
              <w:t xml:space="preserve">Increase program extensions for graduate students who suffer injury or illness from 12 to 24 months </w:t>
            </w:r>
          </w:p>
          <w:p w:rsidR="00000000" w:rsidDel="00000000" w:rsidP="00000000" w:rsidRDefault="00000000" w:rsidRPr="00000000" w14:paraId="00000025">
            <w:pPr>
              <w:widowControl w:val="0"/>
              <w:numPr>
                <w:ilvl w:val="0"/>
                <w:numId w:val="2"/>
              </w:numPr>
              <w:spacing w:line="240" w:lineRule="auto"/>
              <w:ind w:left="288"/>
              <w:rPr/>
            </w:pPr>
            <w:r w:rsidDel="00000000" w:rsidR="00000000" w:rsidRPr="00000000">
              <w:rPr>
                <w:rtl w:val="0"/>
              </w:rPr>
              <w:t xml:space="preserve">Rename article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3"/>
              </w:numPr>
              <w:spacing w:line="240" w:lineRule="auto"/>
              <w:ind w:left="288"/>
              <w:rPr/>
            </w:pPr>
            <w:r w:rsidDel="00000000" w:rsidR="00000000" w:rsidRPr="00000000">
              <w:rPr>
                <w:rtl w:val="0"/>
              </w:rPr>
              <w:t xml:space="preserve">NO to increasing illness/injury extension provision</w:t>
            </w:r>
          </w:p>
          <w:p w:rsidR="00000000" w:rsidDel="00000000" w:rsidP="00000000" w:rsidRDefault="00000000" w:rsidRPr="00000000" w14:paraId="00000027">
            <w:pPr>
              <w:widowControl w:val="0"/>
              <w:numPr>
                <w:ilvl w:val="0"/>
                <w:numId w:val="3"/>
              </w:numPr>
              <w:spacing w:line="240" w:lineRule="auto"/>
              <w:ind w:left="288"/>
              <w:rPr/>
            </w:pPr>
            <w:r w:rsidDel="00000000" w:rsidR="00000000" w:rsidRPr="00000000">
              <w:rPr>
                <w:rtl w:val="0"/>
              </w:rPr>
              <w:t xml:space="preserve">proposed </w:t>
            </w:r>
            <w:r w:rsidDel="00000000" w:rsidR="00000000" w:rsidRPr="00000000">
              <w:rPr>
                <w:i w:val="1"/>
                <w:rtl w:val="0"/>
              </w:rPr>
              <w:t xml:space="preserve">eliminating</w:t>
            </w:r>
            <w:r w:rsidDel="00000000" w:rsidR="00000000" w:rsidRPr="00000000">
              <w:rPr>
                <w:rtl w:val="0"/>
              </w:rPr>
              <w:t xml:space="preserve"> language on illness/injury extensions</w:t>
            </w:r>
          </w:p>
          <w:p w:rsidR="00000000" w:rsidDel="00000000" w:rsidP="00000000" w:rsidRDefault="00000000" w:rsidRPr="00000000" w14:paraId="00000028">
            <w:pPr>
              <w:widowControl w:val="0"/>
              <w:numPr>
                <w:ilvl w:val="0"/>
                <w:numId w:val="3"/>
              </w:numPr>
              <w:spacing w:line="240" w:lineRule="auto"/>
              <w:ind w:left="288"/>
              <w:rPr/>
            </w:pPr>
            <w:r w:rsidDel="00000000" w:rsidR="00000000" w:rsidRPr="00000000">
              <w:rPr>
                <w:rtl w:val="0"/>
              </w:rPr>
              <w:t xml:space="preserve">Agreed to renaming article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b w:val="1"/>
                <w:rtl w:val="0"/>
              </w:rPr>
              <w:t xml:space="preserve">Mentoring Fund </w:t>
            </w:r>
            <w:r w:rsidDel="00000000" w:rsidR="00000000" w:rsidRPr="00000000">
              <w:rPr>
                <w:rtl w:val="0"/>
              </w:rPr>
              <w:t xml:space="preserve">(#7)</w:t>
            </w:r>
          </w:p>
          <w:p w:rsidR="00000000" w:rsidDel="00000000" w:rsidP="00000000" w:rsidRDefault="00000000" w:rsidRPr="00000000" w14:paraId="0000002B">
            <w:pPr>
              <w:widowControl w:val="0"/>
              <w:spacing w:line="240" w:lineRule="auto"/>
              <w:rPr/>
            </w:pPr>
            <w:r w:rsidDel="00000000" w:rsidR="00000000" w:rsidRPr="00000000">
              <w:rPr>
                <w:rtl w:val="0"/>
              </w:rPr>
              <w:t xml:space="preserve">[NEW] U1 Article 15.30</w:t>
            </w:r>
          </w:p>
          <w:p w:rsidR="00000000" w:rsidDel="00000000" w:rsidP="00000000" w:rsidRDefault="00000000" w:rsidRPr="00000000" w14:paraId="0000002C">
            <w:pPr>
              <w:widowControl w:val="0"/>
              <w:spacing w:line="240" w:lineRule="auto"/>
              <w:rPr/>
            </w:pPr>
            <w:r w:rsidDel="00000000" w:rsidR="00000000" w:rsidRPr="00000000">
              <w:rPr>
                <w:rtl w:val="0"/>
              </w:rPr>
              <w:t xml:space="preserve">[NEW] U2 Article 15.32</w:t>
            </w:r>
          </w:p>
          <w:p w:rsidR="00000000" w:rsidDel="00000000" w:rsidP="00000000" w:rsidRDefault="00000000" w:rsidRPr="00000000" w14:paraId="0000002D">
            <w:pPr>
              <w:widowControl w:val="0"/>
              <w:spacing w:line="240" w:lineRule="auto"/>
              <w:rPr>
                <w:b w:val="1"/>
              </w:rPr>
            </w:pPr>
            <w:r w:rsidDel="00000000" w:rsidR="00000000" w:rsidRPr="00000000">
              <w:rPr>
                <w:rtl w:val="0"/>
              </w:rPr>
              <w:t xml:space="preserve">[NEW] U3 Article 11.15</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Introduce a new mentorship fund of $20,000 per year, to be operated under the aegis of the Union, for the purpose of providing mentoring, professional development opportunities, and other supports, with an emphasis on mentoring members of employment equity groups.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rHeight w:val="440" w:hRule="atLeast"/>
          <w:tblHeader w:val="0"/>
        </w:trPr>
        <w:tc>
          <w:tcPr>
            <w:gridSpan w:val="4"/>
            <w:shd w:fill="ffd966"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rPr>
            </w:pPr>
            <w:r w:rsidDel="00000000" w:rsidR="00000000" w:rsidRPr="00000000">
              <w:rPr>
                <w:b w:val="1"/>
                <w:rtl w:val="0"/>
              </w:rPr>
              <w:t xml:space="preserve">UNIT 1</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b w:val="1"/>
                <w:rtl w:val="0"/>
              </w:rPr>
              <w:t xml:space="preserve">Graduate Student Bursary Fund</w:t>
            </w:r>
            <w:r w:rsidDel="00000000" w:rsidR="00000000" w:rsidRPr="00000000">
              <w:rPr>
                <w:b w:val="1"/>
                <w:rtl w:val="0"/>
              </w:rPr>
              <w:t xml:space="preserve"> </w:t>
            </w:r>
            <w:r w:rsidDel="00000000" w:rsidR="00000000" w:rsidRPr="00000000">
              <w:rPr>
                <w:rtl w:val="0"/>
              </w:rPr>
              <w:t xml:space="preserve">(#48)</w:t>
            </w:r>
          </w:p>
          <w:p w:rsidR="00000000" w:rsidDel="00000000" w:rsidP="00000000" w:rsidRDefault="00000000" w:rsidRPr="00000000" w14:paraId="00000036">
            <w:pPr>
              <w:widowControl w:val="0"/>
              <w:spacing w:line="240" w:lineRule="auto"/>
              <w:rPr/>
            </w:pPr>
            <w:r w:rsidDel="00000000" w:rsidR="00000000" w:rsidRPr="00000000">
              <w:rPr>
                <w:rtl w:val="0"/>
              </w:rPr>
              <w:t xml:space="preserve">Article 15.14</w:t>
            </w:r>
          </w:p>
          <w:p w:rsidR="00000000" w:rsidDel="00000000" w:rsidP="00000000" w:rsidRDefault="00000000" w:rsidRPr="00000000" w14:paraId="00000037">
            <w:pPr>
              <w:widowControl w:val="0"/>
              <w:spacing w:line="240" w:lineRule="auto"/>
              <w:rPr>
                <w:highlight w:val="yellow"/>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pPr>
            <w:r w:rsidDel="00000000" w:rsidR="00000000" w:rsidRPr="00000000">
              <w:rPr>
                <w:rtl w:val="0"/>
              </w:rPr>
              <w:t xml:space="preserve">Increase fund:</w:t>
            </w:r>
          </w:p>
          <w:p w:rsidR="00000000" w:rsidDel="00000000" w:rsidP="00000000" w:rsidRDefault="00000000" w:rsidRPr="00000000" w14:paraId="00000039">
            <w:pPr>
              <w:widowControl w:val="0"/>
              <w:numPr>
                <w:ilvl w:val="0"/>
                <w:numId w:val="4"/>
              </w:numPr>
              <w:spacing w:line="240" w:lineRule="auto"/>
              <w:ind w:left="720" w:hanging="360"/>
              <w:jc w:val="both"/>
            </w:pPr>
            <w:r w:rsidDel="00000000" w:rsidR="00000000" w:rsidRPr="00000000">
              <w:rPr>
                <w:rtl w:val="0"/>
              </w:rPr>
              <w:t xml:space="preserve">2023-24: </w:t>
            </w:r>
            <w:r w:rsidDel="00000000" w:rsidR="00000000" w:rsidRPr="00000000">
              <w:rPr>
                <w:b w:val="1"/>
                <w:strike w:val="1"/>
                <w:color w:val="ff0000"/>
                <w:rtl w:val="0"/>
              </w:rPr>
              <w:t xml:space="preserve">15%</w:t>
            </w:r>
            <w:r w:rsidDel="00000000" w:rsidR="00000000" w:rsidRPr="00000000">
              <w:rPr>
                <w:strike w:val="1"/>
                <w:color w:val="ff0000"/>
                <w:rtl w:val="0"/>
              </w:rPr>
              <w:t xml:space="preserve"> </w:t>
            </w:r>
            <w:r w:rsidDel="00000000" w:rsidR="00000000" w:rsidRPr="00000000">
              <w:rPr>
                <w:b w:val="1"/>
                <w:color w:val="ff0000"/>
                <w:rtl w:val="0"/>
              </w:rPr>
              <w:t xml:space="preserve">10%</w:t>
            </w:r>
            <w:r w:rsidDel="00000000" w:rsidR="00000000" w:rsidRPr="00000000">
              <w:rPr>
                <w:rtl w:val="0"/>
              </w:rPr>
            </w:r>
          </w:p>
          <w:p w:rsidR="00000000" w:rsidDel="00000000" w:rsidP="00000000" w:rsidRDefault="00000000" w:rsidRPr="00000000" w14:paraId="0000003A">
            <w:pPr>
              <w:widowControl w:val="0"/>
              <w:numPr>
                <w:ilvl w:val="0"/>
                <w:numId w:val="4"/>
              </w:numPr>
              <w:spacing w:line="240" w:lineRule="auto"/>
              <w:ind w:left="720" w:hanging="360"/>
              <w:jc w:val="both"/>
            </w:pPr>
            <w:r w:rsidDel="00000000" w:rsidR="00000000" w:rsidRPr="00000000">
              <w:rPr>
                <w:rtl w:val="0"/>
              </w:rPr>
              <w:t xml:space="preserve">2024-25: 2.5%</w:t>
            </w:r>
          </w:p>
          <w:p w:rsidR="00000000" w:rsidDel="00000000" w:rsidP="00000000" w:rsidRDefault="00000000" w:rsidRPr="00000000" w14:paraId="0000003B">
            <w:pPr>
              <w:widowControl w:val="0"/>
              <w:numPr>
                <w:ilvl w:val="0"/>
                <w:numId w:val="4"/>
              </w:numPr>
              <w:spacing w:line="240" w:lineRule="auto"/>
              <w:ind w:left="720" w:hanging="360"/>
              <w:jc w:val="both"/>
            </w:pPr>
            <w:r w:rsidDel="00000000" w:rsidR="00000000" w:rsidRPr="00000000">
              <w:rPr>
                <w:rtl w:val="0"/>
              </w:rPr>
              <w:t xml:space="preserve">2025-26: 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both"/>
              <w:rPr/>
            </w:pPr>
            <w:r w:rsidDel="00000000" w:rsidR="00000000" w:rsidRPr="00000000">
              <w:rPr>
                <w:rtl w:val="0"/>
              </w:rPr>
              <w:t xml:space="preserve">Increase fund:</w:t>
            </w:r>
          </w:p>
          <w:p w:rsidR="00000000" w:rsidDel="00000000" w:rsidP="00000000" w:rsidRDefault="00000000" w:rsidRPr="00000000" w14:paraId="0000003D">
            <w:pPr>
              <w:widowControl w:val="0"/>
              <w:numPr>
                <w:ilvl w:val="0"/>
                <w:numId w:val="5"/>
              </w:numPr>
              <w:spacing w:line="240" w:lineRule="auto"/>
              <w:ind w:left="720" w:hanging="360"/>
              <w:jc w:val="both"/>
            </w:pPr>
            <w:r w:rsidDel="00000000" w:rsidR="00000000" w:rsidRPr="00000000">
              <w:rPr>
                <w:rtl w:val="0"/>
              </w:rPr>
              <w:t xml:space="preserve">2023-24: 1%</w:t>
            </w:r>
          </w:p>
          <w:p w:rsidR="00000000" w:rsidDel="00000000" w:rsidP="00000000" w:rsidRDefault="00000000" w:rsidRPr="00000000" w14:paraId="0000003E">
            <w:pPr>
              <w:widowControl w:val="0"/>
              <w:numPr>
                <w:ilvl w:val="0"/>
                <w:numId w:val="5"/>
              </w:numPr>
              <w:spacing w:line="240" w:lineRule="auto"/>
              <w:ind w:left="720" w:hanging="360"/>
              <w:jc w:val="both"/>
            </w:pPr>
            <w:r w:rsidDel="00000000" w:rsidR="00000000" w:rsidRPr="00000000">
              <w:rPr>
                <w:rtl w:val="0"/>
              </w:rPr>
              <w:t xml:space="preserve">2024-25: 1%</w:t>
            </w:r>
          </w:p>
          <w:p w:rsidR="00000000" w:rsidDel="00000000" w:rsidP="00000000" w:rsidRDefault="00000000" w:rsidRPr="00000000" w14:paraId="0000003F">
            <w:pPr>
              <w:widowControl w:val="0"/>
              <w:numPr>
                <w:ilvl w:val="0"/>
                <w:numId w:val="5"/>
              </w:numPr>
              <w:spacing w:line="240" w:lineRule="auto"/>
              <w:ind w:left="720" w:hanging="360"/>
              <w:jc w:val="both"/>
            </w:pPr>
            <w:r w:rsidDel="00000000" w:rsidR="00000000" w:rsidRPr="00000000">
              <w:rPr>
                <w:rtl w:val="0"/>
              </w:rPr>
              <w:t xml:space="preserve">2025-26: 1%</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OHRC-Based Extension of Priority Pool Entitlement </w:t>
            </w:r>
            <w:r w:rsidDel="00000000" w:rsidR="00000000" w:rsidRPr="00000000">
              <w:rPr>
                <w:rtl w:val="0"/>
              </w:rPr>
              <w:t xml:space="preserve">(#14)</w:t>
            </w: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t xml:space="preserve">U1 Article 12.03.2</w:t>
            </w:r>
          </w:p>
          <w:p w:rsidR="00000000" w:rsidDel="00000000" w:rsidP="00000000" w:rsidRDefault="00000000" w:rsidRPr="00000000" w14:paraId="00000043">
            <w:pP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Increase Ontario Human Rights Code based extensions from 1 to 2 years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r>
      <w:tr>
        <w:trPr>
          <w:cantSplit w:val="0"/>
          <w:trHeight w:val="440" w:hRule="atLeast"/>
          <w:tblHeader w:val="0"/>
        </w:trPr>
        <w:tc>
          <w:tcPr>
            <w:gridSpan w:val="4"/>
            <w:shd w:fill="ffd966"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UNIT 2</w:t>
            </w:r>
          </w:p>
        </w:tc>
      </w:tr>
      <w:tr>
        <w:trPr>
          <w:cantSplit w:val="0"/>
          <w:trHeight w:val="831.914062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b w:val="1"/>
                <w:rtl w:val="0"/>
              </w:rPr>
              <w:t xml:space="preserve">Post-Retirement Benefits </w:t>
            </w:r>
            <w:r w:rsidDel="00000000" w:rsidR="00000000" w:rsidRPr="00000000">
              <w:rPr>
                <w:rtl w:val="0"/>
              </w:rPr>
              <w:t xml:space="preserve">(#88)</w:t>
            </w:r>
          </w:p>
          <w:p w:rsidR="00000000" w:rsidDel="00000000" w:rsidP="00000000" w:rsidRDefault="00000000" w:rsidRPr="00000000" w14:paraId="0000004C">
            <w:pPr>
              <w:widowControl w:val="0"/>
              <w:spacing w:line="240" w:lineRule="auto"/>
              <w:rPr/>
            </w:pPr>
            <w:r w:rsidDel="00000000" w:rsidR="00000000" w:rsidRPr="00000000">
              <w:rPr>
                <w:rtl w:val="0"/>
              </w:rPr>
              <w:t xml:space="preserve">U2 Article 15.27</w:t>
            </w:r>
          </w:p>
          <w:p w:rsidR="00000000" w:rsidDel="00000000" w:rsidP="00000000" w:rsidRDefault="00000000" w:rsidRPr="00000000" w14:paraId="0000004D">
            <w:pP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Improve post-retirement benefits language by providing for continuation of email &amp; library privileges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rPr>
            </w:pPr>
            <w:r w:rsidDel="00000000" w:rsidR="00000000" w:rsidRPr="00000000">
              <w:rPr>
                <w:b w:val="1"/>
                <w:rtl w:val="0"/>
              </w:rPr>
              <w:t xml:space="preserve">Postings (Nursing)</w:t>
            </w:r>
            <w:r w:rsidDel="00000000" w:rsidR="00000000" w:rsidRPr="00000000">
              <w:rPr>
                <w:b w:val="1"/>
                <w:rtl w:val="0"/>
              </w:rPr>
              <w:t xml:space="preserve"> </w:t>
            </w:r>
            <w:r w:rsidDel="00000000" w:rsidR="00000000" w:rsidRPr="00000000">
              <w:rPr>
                <w:rtl w:val="0"/>
              </w:rPr>
              <w:t xml:space="preserve">(#76)</w:t>
            </w: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t xml:space="preserve">U2 Article 11.01.3</w:t>
            </w:r>
          </w:p>
          <w:p w:rsidR="00000000" w:rsidDel="00000000" w:rsidP="00000000" w:rsidRDefault="00000000" w:rsidRPr="00000000" w14:paraId="00000053">
            <w:pPr>
              <w:rPr>
                <w:b w:val="1"/>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Clarifies meaning of “reasonably connected” as falling within a general category of clinical practice.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sectPr>
      <w:pgSz w:h="15840" w:w="12240" w:orient="portrait"/>
      <w:pgMar w:bottom="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