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15D7" w14:textId="7F7D8A16" w:rsidR="00E04DAA" w:rsidRPr="005916E3" w:rsidRDefault="00E04DAA" w:rsidP="008F1CFC">
      <w:pPr>
        <w:spacing w:before="1" w:after="240"/>
        <w:ind w:right="146"/>
        <w:rPr>
          <w:rFonts w:eastAsia="Calibri" w:cstheme="minorHAnsi"/>
          <w:color w:val="000000" w:themeColor="text1"/>
        </w:rPr>
      </w:pPr>
      <w:r w:rsidRPr="005916E3">
        <w:rPr>
          <w:rFonts w:eastAsia="Calibri" w:cstheme="minorHAnsi"/>
          <w:color w:val="000000" w:themeColor="text1"/>
        </w:rPr>
        <w:t xml:space="preserve">The following proposal </w:t>
      </w:r>
      <w:r>
        <w:rPr>
          <w:rFonts w:eastAsia="Calibri" w:cstheme="minorHAnsi"/>
          <w:color w:val="000000" w:themeColor="text1"/>
        </w:rPr>
        <w:t xml:space="preserve">at Article 15.21 is </w:t>
      </w:r>
      <w:r w:rsidRPr="005916E3">
        <w:rPr>
          <w:rFonts w:eastAsia="Calibri" w:cstheme="minorHAnsi"/>
          <w:color w:val="000000" w:themeColor="text1"/>
        </w:rPr>
        <w:t>applicable to</w:t>
      </w:r>
      <w:r>
        <w:rPr>
          <w:rFonts w:eastAsia="Calibri" w:cstheme="minorHAnsi"/>
          <w:color w:val="000000" w:themeColor="text1"/>
        </w:rPr>
        <w:t xml:space="preserve"> the</w:t>
      </w:r>
      <w:r w:rsidRPr="005916E3">
        <w:rPr>
          <w:rFonts w:eastAsia="Calibri" w:cstheme="minorHAnsi"/>
          <w:color w:val="000000" w:themeColor="text1"/>
        </w:rPr>
        <w:t xml:space="preserve"> Uni</w:t>
      </w:r>
      <w:r>
        <w:rPr>
          <w:rFonts w:eastAsia="Calibri" w:cstheme="minorHAnsi"/>
          <w:color w:val="000000" w:themeColor="text1"/>
        </w:rPr>
        <w:t xml:space="preserve">t 2 </w:t>
      </w:r>
      <w:r w:rsidRPr="005916E3">
        <w:rPr>
          <w:rFonts w:eastAsia="Calibri" w:cstheme="minorHAnsi"/>
          <w:color w:val="000000" w:themeColor="text1"/>
        </w:rPr>
        <w:t xml:space="preserve">collective agreement and will form part of the Employer’s Schedule “C” which states: </w:t>
      </w:r>
    </w:p>
    <w:p w14:paraId="38CFB112" w14:textId="77777777" w:rsidR="00E04DAA" w:rsidRPr="005916E3" w:rsidRDefault="00E04DAA" w:rsidP="00E04DAA">
      <w:pPr>
        <w:jc w:val="center"/>
        <w:rPr>
          <w:rFonts w:eastAsia="Calibri" w:cstheme="minorHAnsi"/>
          <w:color w:val="000000" w:themeColor="text1"/>
        </w:rPr>
      </w:pPr>
      <w:r w:rsidRPr="005916E3">
        <w:rPr>
          <w:rFonts w:eastAsia="Calibri" w:cstheme="minorHAnsi"/>
          <w:b/>
          <w:bCs/>
          <w:color w:val="000000" w:themeColor="text1"/>
        </w:rPr>
        <w:t>Schedule “C” to Memorandum of Settlement for A Renewal Collective Agreement</w:t>
      </w:r>
    </w:p>
    <w:p w14:paraId="12C8E2D2" w14:textId="77777777" w:rsidR="00E04DAA" w:rsidRPr="005916E3" w:rsidRDefault="00E04DAA" w:rsidP="00E04DAA">
      <w:pPr>
        <w:jc w:val="center"/>
        <w:rPr>
          <w:rFonts w:eastAsia="Calibri" w:cstheme="minorHAnsi"/>
          <w:color w:val="D13438"/>
        </w:rPr>
      </w:pPr>
      <w:r w:rsidRPr="005916E3">
        <w:rPr>
          <w:rFonts w:eastAsia="Calibri" w:cstheme="minorHAnsi"/>
          <w:b/>
          <w:bCs/>
          <w:color w:val="000000" w:themeColor="text1"/>
        </w:rPr>
        <w:t xml:space="preserve">Other Proposals </w:t>
      </w:r>
    </w:p>
    <w:p w14:paraId="308E5DC3" w14:textId="5933C987" w:rsidR="00EC4513" w:rsidRDefault="00E04DAA">
      <w:pPr>
        <w:rPr>
          <w:rFonts w:eastAsia="Calibri" w:cstheme="minorHAnsi"/>
        </w:rPr>
      </w:pPr>
      <w:r w:rsidRPr="005916E3">
        <w:rPr>
          <w:rFonts w:eastAsia="Calibri" w:cstheme="minorHAnsi"/>
        </w:rPr>
        <w:t xml:space="preserve">Agreement to all proposals in this Comprehensive Framework, including Schedules “A” and “B”, is subject to agreement to all items that </w:t>
      </w:r>
      <w:r w:rsidRPr="005916E3">
        <w:rPr>
          <w:rFonts w:eastAsia="Calibri" w:cstheme="minorHAnsi"/>
          <w:b/>
          <w:bCs/>
        </w:rPr>
        <w:t>will be</w:t>
      </w:r>
      <w:r w:rsidRPr="005916E3">
        <w:rPr>
          <w:rFonts w:eastAsia="Calibri" w:cstheme="minorHAnsi"/>
        </w:rPr>
        <w:t xml:space="preserve"> contained in Schedule “C”.</w:t>
      </w:r>
    </w:p>
    <w:p w14:paraId="48038357" w14:textId="77777777" w:rsidR="008F1CFC" w:rsidRPr="00594FC1" w:rsidRDefault="008F1CFC" w:rsidP="008F1CFC">
      <w:pPr>
        <w:pStyle w:val="BodyText"/>
        <w:spacing w:before="7"/>
        <w:ind w:left="0" w:right="288"/>
        <w:jc w:val="both"/>
        <w:rPr>
          <w:rFonts w:ascii="Arial" w:hAnsi="Arial" w:cs="Arial"/>
          <w:sz w:val="22"/>
          <w:szCs w:val="22"/>
        </w:rPr>
      </w:pPr>
    </w:p>
    <w:p w14:paraId="49D285C2" w14:textId="77777777" w:rsidR="008F1CFC" w:rsidRPr="008F1CFC" w:rsidRDefault="008F1CFC" w:rsidP="008F1CFC">
      <w:pPr>
        <w:pStyle w:val="Heading1"/>
        <w:numPr>
          <w:ilvl w:val="1"/>
          <w:numId w:val="1"/>
        </w:numPr>
        <w:spacing w:line="205" w:lineRule="exact"/>
        <w:ind w:left="0" w:right="288" w:firstLine="0"/>
        <w:jc w:val="both"/>
        <w:rPr>
          <w:rFonts w:asciiTheme="minorHAnsi" w:hAnsiTheme="minorHAnsi" w:cstheme="minorHAnsi"/>
          <w:sz w:val="22"/>
          <w:szCs w:val="22"/>
        </w:rPr>
      </w:pPr>
      <w:bookmarkStart w:id="0" w:name="_Toc143683401"/>
      <w:r w:rsidRPr="008F1CFC">
        <w:rPr>
          <w:rFonts w:asciiTheme="minorHAnsi" w:hAnsiTheme="minorHAnsi" w:cstheme="minorHAnsi"/>
          <w:sz w:val="22"/>
          <w:szCs w:val="22"/>
        </w:rPr>
        <w:t>PROFESSIONAL EXPENSE</w:t>
      </w:r>
      <w:r w:rsidRPr="008F1CFC">
        <w:rPr>
          <w:rFonts w:asciiTheme="minorHAnsi" w:hAnsiTheme="minorHAnsi" w:cstheme="minorHAnsi"/>
          <w:spacing w:val="-3"/>
          <w:sz w:val="22"/>
          <w:szCs w:val="22"/>
        </w:rPr>
        <w:t xml:space="preserve"> </w:t>
      </w:r>
      <w:r w:rsidRPr="008F1CFC">
        <w:rPr>
          <w:rFonts w:asciiTheme="minorHAnsi" w:hAnsiTheme="minorHAnsi" w:cstheme="minorHAnsi"/>
          <w:sz w:val="22"/>
          <w:szCs w:val="22"/>
        </w:rPr>
        <w:t>REIMBURSEMENT</w:t>
      </w:r>
      <w:bookmarkEnd w:id="0"/>
    </w:p>
    <w:p w14:paraId="2C62458F" w14:textId="5BE808FB" w:rsidR="008F1CFC" w:rsidRPr="008F1CFC" w:rsidRDefault="008F1CFC" w:rsidP="008F1CFC">
      <w:pPr>
        <w:pStyle w:val="BodyText"/>
        <w:ind w:left="0" w:right="288"/>
        <w:jc w:val="both"/>
        <w:rPr>
          <w:rFonts w:asciiTheme="minorHAnsi" w:hAnsiTheme="minorHAnsi" w:cstheme="minorHAnsi"/>
          <w:dstrike/>
          <w:sz w:val="22"/>
          <w:szCs w:val="22"/>
        </w:rPr>
      </w:pPr>
      <w:r w:rsidRPr="008F1CFC">
        <w:rPr>
          <w:rFonts w:asciiTheme="minorHAnsi" w:hAnsiTheme="minorHAnsi" w:cstheme="minorHAnsi"/>
          <w:dstrike/>
          <w:sz w:val="22"/>
          <w:szCs w:val="22"/>
        </w:rPr>
        <w:t xml:space="preserve">Effective September 1, 2017 the employer will allocate $275,000 for </w:t>
      </w:r>
      <w:r w:rsidRPr="008F1CFC">
        <w:rPr>
          <w:rFonts w:asciiTheme="minorHAnsi" w:hAnsiTheme="minorHAnsi" w:cstheme="minorHAnsi"/>
          <w:dstrike/>
          <w:spacing w:val="-2"/>
          <w:sz w:val="22"/>
          <w:szCs w:val="22"/>
        </w:rPr>
        <w:t xml:space="preserve">the </w:t>
      </w:r>
      <w:r w:rsidRPr="008F1CFC">
        <w:rPr>
          <w:rFonts w:asciiTheme="minorHAnsi" w:hAnsiTheme="minorHAnsi" w:cstheme="minorHAnsi"/>
          <w:dstrike/>
          <w:sz w:val="22"/>
          <w:szCs w:val="22"/>
        </w:rPr>
        <w:t xml:space="preserve">distribution of a Professional Expense Reimbursement which will be made available to Unit 2 employees on the following basis: $375 for each type 1 or equivalent position (prorated for type 2 or “partial” appointments) to a maximum of $1,125 per year. At the end of each contract year the unexpended portion of these funds shall be rolled over </w:t>
      </w:r>
      <w:r w:rsidRPr="008F1CFC">
        <w:rPr>
          <w:rFonts w:asciiTheme="minorHAnsi" w:hAnsiTheme="minorHAnsi" w:cstheme="minorHAnsi"/>
          <w:dstrike/>
          <w:spacing w:val="-2"/>
          <w:sz w:val="22"/>
          <w:szCs w:val="22"/>
        </w:rPr>
        <w:t xml:space="preserve">for </w:t>
      </w:r>
      <w:r w:rsidRPr="008F1CFC">
        <w:rPr>
          <w:rFonts w:asciiTheme="minorHAnsi" w:hAnsiTheme="minorHAnsi" w:cstheme="minorHAnsi"/>
          <w:dstrike/>
          <w:sz w:val="22"/>
          <w:szCs w:val="22"/>
        </w:rPr>
        <w:t>following</w:t>
      </w:r>
      <w:r w:rsidRPr="008F1CFC">
        <w:rPr>
          <w:rFonts w:asciiTheme="minorHAnsi" w:hAnsiTheme="minorHAnsi" w:cstheme="minorHAnsi"/>
          <w:dstrike/>
          <w:spacing w:val="-10"/>
          <w:sz w:val="22"/>
          <w:szCs w:val="22"/>
        </w:rPr>
        <w:t xml:space="preserve"> </w:t>
      </w:r>
      <w:r w:rsidRPr="008F1CFC">
        <w:rPr>
          <w:rFonts w:asciiTheme="minorHAnsi" w:hAnsiTheme="minorHAnsi" w:cstheme="minorHAnsi"/>
          <w:dstrike/>
          <w:sz w:val="22"/>
          <w:szCs w:val="22"/>
        </w:rPr>
        <w:t>years</w:t>
      </w:r>
      <w:r w:rsidRPr="008F1CFC">
        <w:rPr>
          <w:rFonts w:asciiTheme="minorHAnsi" w:hAnsiTheme="minorHAnsi" w:cstheme="minorHAnsi"/>
          <w:dstrike/>
          <w:spacing w:val="-10"/>
          <w:sz w:val="22"/>
          <w:szCs w:val="22"/>
        </w:rPr>
        <w:t xml:space="preserve"> </w:t>
      </w:r>
      <w:r w:rsidRPr="008F1CFC">
        <w:rPr>
          <w:rFonts w:asciiTheme="minorHAnsi" w:hAnsiTheme="minorHAnsi" w:cstheme="minorHAnsi"/>
          <w:dstrike/>
          <w:sz w:val="22"/>
          <w:szCs w:val="22"/>
        </w:rPr>
        <w:t>with</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the</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following</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condition:</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any</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individual</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PER</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allocations</w:t>
      </w:r>
      <w:r w:rsidRPr="008F1CFC">
        <w:rPr>
          <w:rFonts w:asciiTheme="minorHAnsi" w:hAnsiTheme="minorHAnsi" w:cstheme="minorHAnsi"/>
          <w:dstrike/>
          <w:spacing w:val="-10"/>
          <w:sz w:val="22"/>
          <w:szCs w:val="22"/>
        </w:rPr>
        <w:t xml:space="preserve"> </w:t>
      </w:r>
      <w:r w:rsidRPr="008F1CFC">
        <w:rPr>
          <w:rFonts w:asciiTheme="minorHAnsi" w:hAnsiTheme="minorHAnsi" w:cstheme="minorHAnsi"/>
          <w:dstrike/>
          <w:sz w:val="22"/>
          <w:szCs w:val="22"/>
        </w:rPr>
        <w:t>which</w:t>
      </w:r>
      <w:r w:rsidRPr="008F1CFC">
        <w:rPr>
          <w:rFonts w:asciiTheme="minorHAnsi" w:hAnsiTheme="minorHAnsi" w:cstheme="minorHAnsi"/>
          <w:dstrike/>
          <w:spacing w:val="-9"/>
          <w:sz w:val="22"/>
          <w:szCs w:val="22"/>
        </w:rPr>
        <w:t xml:space="preserve"> </w:t>
      </w:r>
      <w:r w:rsidRPr="008F1CFC">
        <w:rPr>
          <w:rFonts w:asciiTheme="minorHAnsi" w:hAnsiTheme="minorHAnsi" w:cstheme="minorHAnsi"/>
          <w:dstrike/>
          <w:sz w:val="22"/>
          <w:szCs w:val="22"/>
        </w:rPr>
        <w:t>remain unspent after 3 years of initial allocation will be reabsorbed into the fund. The criteria and procedures regarding the administration of the Professional Expense Reimbursement will be subject to the approval of the Labour/Management</w:t>
      </w:r>
      <w:r w:rsidRPr="008F1CFC">
        <w:rPr>
          <w:rFonts w:asciiTheme="minorHAnsi" w:hAnsiTheme="minorHAnsi" w:cstheme="minorHAnsi"/>
          <w:dstrike/>
          <w:spacing w:val="-28"/>
          <w:sz w:val="22"/>
          <w:szCs w:val="22"/>
        </w:rPr>
        <w:t xml:space="preserve"> </w:t>
      </w:r>
      <w:r w:rsidRPr="008F1CFC">
        <w:rPr>
          <w:rFonts w:asciiTheme="minorHAnsi" w:hAnsiTheme="minorHAnsi" w:cstheme="minorHAnsi"/>
          <w:dstrike/>
          <w:sz w:val="22"/>
          <w:szCs w:val="22"/>
        </w:rPr>
        <w:t>Committee.</w:t>
      </w:r>
    </w:p>
    <w:p w14:paraId="379CD964" w14:textId="77777777" w:rsidR="008F1CFC" w:rsidRDefault="008F1CFC" w:rsidP="00231F30">
      <w:pPr>
        <w:rPr>
          <w:rFonts w:eastAsia="Calibri" w:cstheme="minorHAnsi"/>
          <w:lang w:val="en-US"/>
        </w:rPr>
      </w:pPr>
    </w:p>
    <w:p w14:paraId="1132549F" w14:textId="4BF6014E" w:rsidR="00231F30" w:rsidRPr="00F178A8" w:rsidRDefault="00231F30" w:rsidP="00231F30">
      <w:pPr>
        <w:rPr>
          <w:color w:val="FF0000"/>
        </w:rPr>
      </w:pPr>
      <w:r w:rsidRPr="00F178A8">
        <w:rPr>
          <w:color w:val="FF0000"/>
        </w:rPr>
        <w:t xml:space="preserve">1. Effective annually on September 1, 2024 the employer will allocate </w:t>
      </w:r>
      <w:r w:rsidRPr="008C7E80">
        <w:rPr>
          <w:dstrike/>
          <w:color w:val="FF0000"/>
        </w:rPr>
        <w:t>$275,000</w:t>
      </w:r>
      <w:r w:rsidRPr="008C7E80">
        <w:rPr>
          <w:color w:val="FF0000"/>
        </w:rPr>
        <w:t xml:space="preserve"> </w:t>
      </w:r>
      <w:r w:rsidR="00A06712" w:rsidRPr="008C7E80">
        <w:rPr>
          <w:color w:val="FF0000"/>
        </w:rPr>
        <w:t>$300,000</w:t>
      </w:r>
      <w:r w:rsidR="00A06712" w:rsidRPr="00F178A8">
        <w:rPr>
          <w:color w:val="FF0000"/>
        </w:rPr>
        <w:t xml:space="preserve"> </w:t>
      </w:r>
      <w:r w:rsidRPr="00F178A8">
        <w:rPr>
          <w:color w:val="FF0000"/>
        </w:rPr>
        <w:t>for the distribution of a Professional Expense Reimbursement (“PER”) fund</w:t>
      </w:r>
      <w:r w:rsidR="00C01B84" w:rsidRPr="00F178A8">
        <w:rPr>
          <w:color w:val="FF0000"/>
        </w:rPr>
        <w:t xml:space="preserve"> (“PER Fund”)</w:t>
      </w:r>
      <w:r w:rsidRPr="00F178A8">
        <w:rPr>
          <w:color w:val="FF0000"/>
        </w:rPr>
        <w:t xml:space="preserve">. </w:t>
      </w:r>
    </w:p>
    <w:p w14:paraId="52E517D3" w14:textId="47D65D6E" w:rsidR="00231F30" w:rsidRPr="00F178A8" w:rsidRDefault="00231F30" w:rsidP="00231F30">
      <w:pPr>
        <w:rPr>
          <w:color w:val="FF0000"/>
        </w:rPr>
      </w:pPr>
      <w:r w:rsidRPr="00F178A8">
        <w:rPr>
          <w:color w:val="FF0000"/>
        </w:rPr>
        <w:t>2.  Employees in the Unit 2 bargaining unit will be eligible for a PER allocation at the rate of $375 for each type 1 or equivalent position (prorated for type 2 or “partial” appointments) held in the previous contract year from September 1 to August 30</w:t>
      </w:r>
      <w:r w:rsidRPr="00F178A8">
        <w:rPr>
          <w:color w:val="FF0000"/>
          <w:vertAlign w:val="superscript"/>
        </w:rPr>
        <w:t>th</w:t>
      </w:r>
      <w:r w:rsidRPr="00F178A8">
        <w:rPr>
          <w:color w:val="FF0000"/>
        </w:rPr>
        <w:t xml:space="preserve"> to a maximum of $1125 per contract year. </w:t>
      </w:r>
      <w:r w:rsidR="00033A63" w:rsidRPr="00F178A8">
        <w:rPr>
          <w:color w:val="FF0000"/>
        </w:rPr>
        <w:t xml:space="preserve"> </w:t>
      </w:r>
    </w:p>
    <w:p w14:paraId="39CFDF1B" w14:textId="3626C4EB" w:rsidR="00231F30" w:rsidRPr="00F178A8" w:rsidRDefault="0043457D" w:rsidP="00231F30">
      <w:pPr>
        <w:rPr>
          <w:color w:val="FF0000"/>
        </w:rPr>
      </w:pPr>
      <w:r>
        <w:rPr>
          <w:color w:val="FF0000"/>
        </w:rPr>
        <w:t>3</w:t>
      </w:r>
      <w:r w:rsidR="00231F30" w:rsidRPr="00F178A8">
        <w:rPr>
          <w:color w:val="FF0000"/>
        </w:rPr>
        <w:t xml:space="preserve">. By </w:t>
      </w:r>
      <w:r w:rsidR="0054676F" w:rsidRPr="00F178A8">
        <w:rPr>
          <w:color w:val="FF0000"/>
        </w:rPr>
        <w:t>October 15</w:t>
      </w:r>
      <w:r w:rsidR="0054676F" w:rsidRPr="00F178A8">
        <w:rPr>
          <w:color w:val="FF0000"/>
          <w:vertAlign w:val="superscript"/>
        </w:rPr>
        <w:t>th</w:t>
      </w:r>
      <w:r w:rsidR="0054676F" w:rsidRPr="00F178A8">
        <w:rPr>
          <w:color w:val="FF0000"/>
        </w:rPr>
        <w:t xml:space="preserve"> </w:t>
      </w:r>
      <w:r w:rsidR="00231F30" w:rsidRPr="00F178A8">
        <w:rPr>
          <w:color w:val="FF0000"/>
        </w:rPr>
        <w:t>annually, the employer will inform employees of their individual PER allocation and any carry forward per 15.21.</w:t>
      </w:r>
      <w:r w:rsidR="00C05276">
        <w:rPr>
          <w:color w:val="FF0000"/>
        </w:rPr>
        <w:t>4</w:t>
      </w:r>
      <w:r w:rsidR="00231F30" w:rsidRPr="00F178A8">
        <w:rPr>
          <w:color w:val="FF0000"/>
        </w:rPr>
        <w:t xml:space="preserve"> below.  </w:t>
      </w:r>
      <w:r w:rsidR="00A06712" w:rsidRPr="00F178A8">
        <w:rPr>
          <w:color w:val="FF0000"/>
        </w:rPr>
        <w:t xml:space="preserve">Individual PER allocations </w:t>
      </w:r>
      <w:r w:rsidR="00C05276">
        <w:rPr>
          <w:color w:val="FF0000"/>
        </w:rPr>
        <w:t xml:space="preserve">as per Paragraph 2 above </w:t>
      </w:r>
      <w:r w:rsidR="00A06712" w:rsidRPr="00F178A8">
        <w:rPr>
          <w:color w:val="FF0000"/>
        </w:rPr>
        <w:t>will be adjusted in the event that the PER Fund is not sufficient to cover the required allocations based on the number of assignments in the previous year.</w:t>
      </w:r>
    </w:p>
    <w:p w14:paraId="76AEE666" w14:textId="2A15C598" w:rsidR="00231F30" w:rsidRPr="00F178A8" w:rsidRDefault="0043457D" w:rsidP="00231F30">
      <w:pPr>
        <w:rPr>
          <w:color w:val="FF0000"/>
        </w:rPr>
      </w:pPr>
      <w:r>
        <w:rPr>
          <w:color w:val="FF0000"/>
        </w:rPr>
        <w:t>4</w:t>
      </w:r>
      <w:r w:rsidR="00231F30" w:rsidRPr="00F178A8">
        <w:rPr>
          <w:color w:val="FF0000"/>
        </w:rPr>
        <w:t>. An employee may carry forward PER funds for up to three years after which any unspent PER funds will be reabsorbed into the</w:t>
      </w:r>
      <w:r w:rsidR="0054676F" w:rsidRPr="00F178A8">
        <w:rPr>
          <w:color w:val="FF0000"/>
        </w:rPr>
        <w:t xml:space="preserve"> PER Fund</w:t>
      </w:r>
      <w:r w:rsidR="00231F30" w:rsidRPr="00F178A8">
        <w:rPr>
          <w:color w:val="FF0000"/>
        </w:rPr>
        <w:t xml:space="preserve">. </w:t>
      </w:r>
    </w:p>
    <w:p w14:paraId="6633DDB0" w14:textId="569DBB95" w:rsidR="00A300DD" w:rsidRPr="00F178A8" w:rsidRDefault="0043457D" w:rsidP="00C01B84">
      <w:pPr>
        <w:rPr>
          <w:color w:val="FF0000"/>
        </w:rPr>
      </w:pPr>
      <w:r>
        <w:rPr>
          <w:color w:val="FF0000"/>
        </w:rPr>
        <w:t>5</w:t>
      </w:r>
      <w:r w:rsidR="00231F30" w:rsidRPr="00F178A8">
        <w:rPr>
          <w:color w:val="FF0000"/>
        </w:rPr>
        <w:t>. The criteria and procedures regarding the administration of the Professional Expense Reimbursement will be subject to the approval of the Labour/Management Committee.</w:t>
      </w:r>
    </w:p>
    <w:p w14:paraId="5FBD8704" w14:textId="77777777" w:rsidR="00E04DAA" w:rsidRDefault="00E04DAA" w:rsidP="008F1CFC">
      <w:pPr>
        <w:rPr>
          <w:b/>
          <w:bCs/>
        </w:rPr>
      </w:pPr>
    </w:p>
    <w:p w14:paraId="4DAEB9AE" w14:textId="04F189AF" w:rsidR="00A300DD" w:rsidRPr="003D4BE6" w:rsidRDefault="00E04DAA" w:rsidP="00A300DD">
      <w:pPr>
        <w:jc w:val="center"/>
        <w:rPr>
          <w:b/>
          <w:bCs/>
          <w:color w:val="FF0000"/>
        </w:rPr>
      </w:pPr>
      <w:r w:rsidRPr="003D4BE6">
        <w:rPr>
          <w:b/>
          <w:bCs/>
          <w:color w:val="FF0000"/>
        </w:rPr>
        <w:t>L</w:t>
      </w:r>
      <w:r w:rsidR="00A300DD" w:rsidRPr="003D4BE6">
        <w:rPr>
          <w:b/>
          <w:bCs/>
          <w:color w:val="FF0000"/>
        </w:rPr>
        <w:t>etter of Agreement</w:t>
      </w:r>
    </w:p>
    <w:p w14:paraId="5C047902" w14:textId="3115ED3E" w:rsidR="00A300DD" w:rsidRDefault="00A300DD" w:rsidP="00C01B84">
      <w:pPr>
        <w:rPr>
          <w:color w:val="FF0000"/>
        </w:rPr>
      </w:pPr>
      <w:r w:rsidRPr="003D4BE6">
        <w:rPr>
          <w:color w:val="FF0000"/>
        </w:rPr>
        <w:t xml:space="preserve">The Employer agrees that before the expiry of the current Collective Agreement it will implement an automated system to allow members to check the current balance of their accrued Professional Expense Reimbursement funds online. </w:t>
      </w:r>
    </w:p>
    <w:p w14:paraId="0FB886BE" w14:textId="406B372E" w:rsidR="00C05276" w:rsidRDefault="00C05276" w:rsidP="00C01B84">
      <w:pPr>
        <w:rPr>
          <w:color w:val="FF0000"/>
        </w:rPr>
      </w:pPr>
      <w:r w:rsidRPr="00C05276">
        <w:rPr>
          <w:color w:val="FF0000"/>
        </w:rPr>
        <w:t xml:space="preserve">This Letter of Agreement shall be placed in the </w:t>
      </w:r>
      <w:r>
        <w:rPr>
          <w:color w:val="FF0000"/>
        </w:rPr>
        <w:t>Unit 2</w:t>
      </w:r>
      <w:r w:rsidRPr="00C05276">
        <w:rPr>
          <w:color w:val="FF0000"/>
        </w:rPr>
        <w:t xml:space="preserve"> 2023-26 collective agreement booklet and shall form part of the </w:t>
      </w:r>
      <w:r>
        <w:rPr>
          <w:color w:val="FF0000"/>
        </w:rPr>
        <w:t>Unit 2</w:t>
      </w:r>
      <w:r w:rsidRPr="00C05276">
        <w:rPr>
          <w:color w:val="FF0000"/>
        </w:rPr>
        <w:t xml:space="preserve"> 2023-26 collective agreement. It will expire with the expiration of the </w:t>
      </w:r>
      <w:r>
        <w:rPr>
          <w:color w:val="FF0000"/>
        </w:rPr>
        <w:t xml:space="preserve">Unit 2 </w:t>
      </w:r>
      <w:r w:rsidRPr="00C05276">
        <w:rPr>
          <w:color w:val="FF0000"/>
        </w:rPr>
        <w:lastRenderedPageBreak/>
        <w:t>2023-26 collective agreement and shall be removed from the subsequent renewal collective agreement unless renewed by the parties.</w:t>
      </w:r>
    </w:p>
    <w:p w14:paraId="1F56E240" w14:textId="63326D57" w:rsidR="00AE22F2" w:rsidRPr="00AE22F2" w:rsidRDefault="00AE22F2" w:rsidP="00AE22F2">
      <w:pPr>
        <w:tabs>
          <w:tab w:val="left" w:pos="2960"/>
        </w:tabs>
      </w:pPr>
      <w:r>
        <w:tab/>
      </w:r>
    </w:p>
    <w:sectPr w:rsidR="00AE22F2" w:rsidRPr="00AE22F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66BF" w14:textId="77777777" w:rsidR="00E04DAA" w:rsidRDefault="00E04DAA" w:rsidP="00E04DAA">
      <w:pPr>
        <w:spacing w:after="0" w:line="240" w:lineRule="auto"/>
      </w:pPr>
      <w:r>
        <w:separator/>
      </w:r>
    </w:p>
  </w:endnote>
  <w:endnote w:type="continuationSeparator" w:id="0">
    <w:p w14:paraId="0D20C54D" w14:textId="77777777" w:rsidR="00E04DAA" w:rsidRDefault="00E04DAA" w:rsidP="00E0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15D3" w14:textId="77777777" w:rsidR="00E04DAA" w:rsidRDefault="00E04DAA" w:rsidP="00E04DAA">
      <w:pPr>
        <w:spacing w:after="0" w:line="240" w:lineRule="auto"/>
      </w:pPr>
      <w:r>
        <w:separator/>
      </w:r>
    </w:p>
  </w:footnote>
  <w:footnote w:type="continuationSeparator" w:id="0">
    <w:p w14:paraId="4F03C026" w14:textId="77777777" w:rsidR="00E04DAA" w:rsidRDefault="00E04DAA" w:rsidP="00E0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57D" w14:textId="72B19F7D" w:rsidR="00E04DAA" w:rsidRPr="00845B8F" w:rsidRDefault="00E04DAA" w:rsidP="00E04DAA">
    <w:pPr>
      <w:pStyle w:val="Header"/>
      <w:rPr>
        <w:rFonts w:cstheme="minorHAnsi"/>
      </w:rPr>
    </w:pPr>
    <w:r>
      <w:rPr>
        <w:rFonts w:cstheme="minorHAnsi"/>
      </w:rPr>
      <w:t>Feb 15</w:t>
    </w:r>
    <w:r w:rsidRPr="00845B8F">
      <w:rPr>
        <w:rFonts w:cstheme="minorHAnsi"/>
      </w:rPr>
      <w:t>, 202</w:t>
    </w:r>
    <w:r>
      <w:rPr>
        <w:rFonts w:cstheme="minorHAnsi"/>
      </w:rPr>
      <w:t>4</w:t>
    </w:r>
    <w:r w:rsidRPr="00845B8F">
      <w:rPr>
        <w:rFonts w:cstheme="minorHAnsi"/>
      </w:rPr>
      <w:t xml:space="preserve"> </w:t>
    </w:r>
  </w:p>
  <w:p w14:paraId="4E8BDE1F" w14:textId="77777777" w:rsidR="00E04DAA" w:rsidRDefault="00E04DAA" w:rsidP="00E04DAA">
    <w:pPr>
      <w:pStyle w:val="Header"/>
      <w:rPr>
        <w:rFonts w:cstheme="minorHAnsi"/>
      </w:rPr>
    </w:pPr>
    <w:r w:rsidRPr="00845B8F">
      <w:rPr>
        <w:rFonts w:cstheme="minorHAnsi"/>
      </w:rPr>
      <w:t xml:space="preserve">Employer Proposal without prejudice </w:t>
    </w:r>
  </w:p>
  <w:p w14:paraId="66D53090" w14:textId="68395113" w:rsidR="00E04DAA" w:rsidRPr="00845B8F" w:rsidRDefault="00E04DAA" w:rsidP="00E04DAA">
    <w:pPr>
      <w:pStyle w:val="Header"/>
      <w:rPr>
        <w:rFonts w:cstheme="minorHAnsi"/>
      </w:rPr>
    </w:pPr>
    <w:r>
      <w:rPr>
        <w:rFonts w:cstheme="minorHAnsi"/>
      </w:rPr>
      <w:t xml:space="preserve">Unit 2 – Article 15.21 </w:t>
    </w:r>
  </w:p>
  <w:p w14:paraId="3E8F30F9" w14:textId="77777777" w:rsidR="00E04DAA" w:rsidRDefault="00E0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3AC6"/>
    <w:multiLevelType w:val="multilevel"/>
    <w:tmpl w:val="B69AE2A4"/>
    <w:lvl w:ilvl="0">
      <w:start w:val="15"/>
      <w:numFmt w:val="decimal"/>
      <w:lvlText w:val="%1"/>
      <w:lvlJc w:val="left"/>
      <w:pPr>
        <w:ind w:left="2900" w:hanging="1228"/>
      </w:pPr>
      <w:rPr>
        <w:rFonts w:hint="default"/>
      </w:rPr>
    </w:lvl>
    <w:lvl w:ilvl="1">
      <w:start w:val="21"/>
      <w:numFmt w:val="decimal"/>
      <w:lvlText w:val="%1.%2"/>
      <w:lvlJc w:val="left"/>
      <w:pPr>
        <w:ind w:left="2900" w:hanging="1228"/>
      </w:pPr>
      <w:rPr>
        <w:rFonts w:hint="default"/>
        <w:b/>
        <w:bCs/>
        <w:spacing w:val="-1"/>
        <w:w w:val="100"/>
      </w:rPr>
    </w:lvl>
    <w:lvl w:ilvl="2">
      <w:start w:val="1"/>
      <w:numFmt w:val="lowerLetter"/>
      <w:lvlText w:val="(%3)"/>
      <w:lvlJc w:val="left"/>
      <w:pPr>
        <w:ind w:left="3259" w:hanging="360"/>
      </w:pPr>
      <w:rPr>
        <w:rFonts w:ascii="Arial" w:eastAsia="Times New Roman" w:hAnsi="Arial" w:cs="Arial" w:hint="default"/>
        <w:spacing w:val="-21"/>
        <w:w w:val="100"/>
        <w:sz w:val="22"/>
        <w:szCs w:val="22"/>
      </w:rPr>
    </w:lvl>
    <w:lvl w:ilvl="3">
      <w:numFmt w:val="bullet"/>
      <w:lvlText w:val="•"/>
      <w:lvlJc w:val="left"/>
      <w:pPr>
        <w:ind w:left="4491" w:hanging="360"/>
      </w:pPr>
      <w:rPr>
        <w:rFonts w:hint="default"/>
      </w:rPr>
    </w:lvl>
    <w:lvl w:ilvl="4">
      <w:numFmt w:val="bullet"/>
      <w:lvlText w:val="•"/>
      <w:lvlJc w:val="left"/>
      <w:pPr>
        <w:ind w:left="5106" w:hanging="360"/>
      </w:pPr>
      <w:rPr>
        <w:rFonts w:hint="default"/>
      </w:rPr>
    </w:lvl>
    <w:lvl w:ilvl="5">
      <w:numFmt w:val="bullet"/>
      <w:lvlText w:val="•"/>
      <w:lvlJc w:val="left"/>
      <w:pPr>
        <w:ind w:left="5722" w:hanging="360"/>
      </w:pPr>
      <w:rPr>
        <w:rFonts w:hint="default"/>
      </w:rPr>
    </w:lvl>
    <w:lvl w:ilvl="6">
      <w:numFmt w:val="bullet"/>
      <w:lvlText w:val="•"/>
      <w:lvlJc w:val="left"/>
      <w:pPr>
        <w:ind w:left="6337" w:hanging="360"/>
      </w:pPr>
      <w:rPr>
        <w:rFonts w:hint="default"/>
      </w:rPr>
    </w:lvl>
    <w:lvl w:ilvl="7">
      <w:numFmt w:val="bullet"/>
      <w:lvlText w:val="•"/>
      <w:lvlJc w:val="left"/>
      <w:pPr>
        <w:ind w:left="6953" w:hanging="360"/>
      </w:pPr>
      <w:rPr>
        <w:rFonts w:hint="default"/>
      </w:rPr>
    </w:lvl>
    <w:lvl w:ilvl="8">
      <w:numFmt w:val="bullet"/>
      <w:lvlText w:val="•"/>
      <w:lvlJc w:val="left"/>
      <w:pPr>
        <w:ind w:left="7568" w:hanging="360"/>
      </w:pPr>
      <w:rPr>
        <w:rFonts w:hint="default"/>
      </w:rPr>
    </w:lvl>
  </w:abstractNum>
  <w:num w:numId="1" w16cid:durableId="173304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13"/>
    <w:rsid w:val="00033A63"/>
    <w:rsid w:val="00231F30"/>
    <w:rsid w:val="003113AB"/>
    <w:rsid w:val="003D4BE6"/>
    <w:rsid w:val="0043457D"/>
    <w:rsid w:val="00530BE6"/>
    <w:rsid w:val="0054676F"/>
    <w:rsid w:val="00763A16"/>
    <w:rsid w:val="00812E89"/>
    <w:rsid w:val="008526B3"/>
    <w:rsid w:val="008C7E80"/>
    <w:rsid w:val="008F1CFC"/>
    <w:rsid w:val="00903EA5"/>
    <w:rsid w:val="00970ABC"/>
    <w:rsid w:val="009B6A7F"/>
    <w:rsid w:val="009C5376"/>
    <w:rsid w:val="00A06712"/>
    <w:rsid w:val="00A300DD"/>
    <w:rsid w:val="00A370EB"/>
    <w:rsid w:val="00AE22F2"/>
    <w:rsid w:val="00BB1C72"/>
    <w:rsid w:val="00C01B84"/>
    <w:rsid w:val="00C05276"/>
    <w:rsid w:val="00CB780D"/>
    <w:rsid w:val="00D74AE9"/>
    <w:rsid w:val="00E04DAA"/>
    <w:rsid w:val="00EC4513"/>
    <w:rsid w:val="00F178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EF75"/>
  <w15:chartTrackingRefBased/>
  <w15:docId w15:val="{E630DB7D-4D5E-4D54-A53E-BBAA3251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1CFC"/>
    <w:pPr>
      <w:widowControl w:val="0"/>
      <w:autoSpaceDE w:val="0"/>
      <w:autoSpaceDN w:val="0"/>
      <w:spacing w:after="0" w:line="240" w:lineRule="auto"/>
      <w:ind w:left="2900"/>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AA"/>
  </w:style>
  <w:style w:type="paragraph" w:styleId="Footer">
    <w:name w:val="footer"/>
    <w:basedOn w:val="Normal"/>
    <w:link w:val="FooterChar"/>
    <w:uiPriority w:val="99"/>
    <w:unhideWhenUsed/>
    <w:rsid w:val="00E04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AA"/>
  </w:style>
  <w:style w:type="character" w:customStyle="1" w:styleId="Heading1Char">
    <w:name w:val="Heading 1 Char"/>
    <w:basedOn w:val="DefaultParagraphFont"/>
    <w:link w:val="Heading1"/>
    <w:uiPriority w:val="9"/>
    <w:rsid w:val="008F1CFC"/>
    <w:rPr>
      <w:rFonts w:ascii="Times New Roman" w:eastAsia="Times New Roman" w:hAnsi="Times New Roman" w:cs="Times New Roman"/>
      <w:b/>
      <w:bCs/>
      <w:sz w:val="18"/>
      <w:szCs w:val="18"/>
      <w:lang w:val="en-US"/>
    </w:rPr>
  </w:style>
  <w:style w:type="paragraph" w:styleId="BodyText">
    <w:name w:val="Body Text"/>
    <w:basedOn w:val="Normal"/>
    <w:link w:val="BodyTextChar"/>
    <w:uiPriority w:val="1"/>
    <w:qFormat/>
    <w:rsid w:val="008F1CFC"/>
    <w:pPr>
      <w:widowControl w:val="0"/>
      <w:autoSpaceDE w:val="0"/>
      <w:autoSpaceDN w:val="0"/>
      <w:spacing w:after="0" w:line="240" w:lineRule="auto"/>
      <w:ind w:left="1672"/>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8F1CFC"/>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87414">
      <w:bodyDiv w:val="1"/>
      <w:marLeft w:val="0"/>
      <w:marRight w:val="0"/>
      <w:marTop w:val="0"/>
      <w:marBottom w:val="0"/>
      <w:divBdr>
        <w:top w:val="none" w:sz="0" w:space="0" w:color="auto"/>
        <w:left w:val="none" w:sz="0" w:space="0" w:color="auto"/>
        <w:bottom w:val="none" w:sz="0" w:space="0" w:color="auto"/>
        <w:right w:val="none" w:sz="0" w:space="0" w:color="auto"/>
      </w:divBdr>
    </w:div>
    <w:div w:id="13232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Bereza</dc:creator>
  <cp:keywords/>
  <dc:description/>
  <cp:lastModifiedBy>Kaylie Gordon</cp:lastModifiedBy>
  <cp:revision>7</cp:revision>
  <dcterms:created xsi:type="dcterms:W3CDTF">2024-02-14T21:44:00Z</dcterms:created>
  <dcterms:modified xsi:type="dcterms:W3CDTF">2024-02-15T14:57:00Z</dcterms:modified>
</cp:coreProperties>
</file>