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CD616" w14:textId="4D2BE8FB" w:rsidR="001F7281" w:rsidRDefault="001F7281" w:rsidP="001F7281">
      <w:pPr>
        <w:spacing w:before="1" w:after="240"/>
        <w:rPr>
          <w:rFonts w:asciiTheme="minorHAnsi" w:eastAsia="Calibri" w:hAnsiTheme="minorHAnsi" w:cstheme="minorHAnsi"/>
          <w:color w:val="000000" w:themeColor="text1"/>
        </w:rPr>
      </w:pPr>
      <w:r w:rsidRPr="005916E3">
        <w:rPr>
          <w:rFonts w:asciiTheme="minorHAnsi" w:eastAsia="Calibri" w:hAnsiTheme="minorHAnsi" w:cstheme="minorHAnsi"/>
          <w:color w:val="000000" w:themeColor="text1"/>
        </w:rPr>
        <w:t xml:space="preserve">The following proposal </w:t>
      </w:r>
      <w:r>
        <w:rPr>
          <w:rFonts w:asciiTheme="minorHAnsi" w:eastAsia="Calibri" w:hAnsiTheme="minorHAnsi" w:cstheme="minorHAnsi"/>
          <w:color w:val="000000" w:themeColor="text1"/>
        </w:rPr>
        <w:t xml:space="preserve">is </w:t>
      </w:r>
      <w:r w:rsidRPr="005916E3">
        <w:rPr>
          <w:rFonts w:asciiTheme="minorHAnsi" w:eastAsia="Calibri" w:hAnsiTheme="minorHAnsi" w:cstheme="minorHAnsi"/>
          <w:color w:val="000000" w:themeColor="text1"/>
        </w:rPr>
        <w:t>applicable to</w:t>
      </w:r>
      <w:r>
        <w:rPr>
          <w:rFonts w:asciiTheme="minorHAnsi" w:eastAsia="Calibri" w:hAnsiTheme="minorHAnsi" w:cstheme="minorHAnsi"/>
          <w:color w:val="000000" w:themeColor="text1"/>
        </w:rPr>
        <w:t xml:space="preserve"> the</w:t>
      </w:r>
      <w:r w:rsidRPr="005916E3">
        <w:rPr>
          <w:rFonts w:asciiTheme="minorHAnsi" w:eastAsia="Calibri" w:hAnsiTheme="minorHAnsi" w:cstheme="minorHAnsi"/>
          <w:color w:val="000000" w:themeColor="text1"/>
        </w:rPr>
        <w:t xml:space="preserve"> Uni</w:t>
      </w:r>
      <w:r>
        <w:rPr>
          <w:rFonts w:asciiTheme="minorHAnsi" w:eastAsia="Calibri" w:hAnsiTheme="minorHAnsi" w:cstheme="minorHAnsi"/>
          <w:color w:val="000000" w:themeColor="text1"/>
        </w:rPr>
        <w:t xml:space="preserve">t </w:t>
      </w:r>
      <w:r w:rsidR="004D7F05">
        <w:rPr>
          <w:rFonts w:asciiTheme="minorHAnsi" w:eastAsia="Calibri" w:hAnsiTheme="minorHAnsi" w:cstheme="minorHAnsi"/>
          <w:color w:val="000000" w:themeColor="text1"/>
        </w:rPr>
        <w:t>2</w:t>
      </w:r>
      <w:r>
        <w:rPr>
          <w:rFonts w:asciiTheme="minorHAnsi" w:eastAsia="Calibri" w:hAnsiTheme="minorHAnsi" w:cstheme="minorHAnsi"/>
          <w:color w:val="000000" w:themeColor="text1"/>
        </w:rPr>
        <w:t xml:space="preserve"> </w:t>
      </w:r>
      <w:r w:rsidRPr="005916E3">
        <w:rPr>
          <w:rFonts w:asciiTheme="minorHAnsi" w:eastAsia="Calibri" w:hAnsiTheme="minorHAnsi" w:cstheme="minorHAnsi"/>
          <w:color w:val="000000" w:themeColor="text1"/>
        </w:rPr>
        <w:t>collective agreement and will form part of the Employer’s Schedule “</w:t>
      </w:r>
      <w:r>
        <w:rPr>
          <w:rFonts w:asciiTheme="minorHAnsi" w:eastAsia="Calibri" w:hAnsiTheme="minorHAnsi" w:cstheme="minorHAnsi"/>
          <w:color w:val="000000" w:themeColor="text1"/>
        </w:rPr>
        <w:t xml:space="preserve">A” and Schedule “B” </w:t>
      </w:r>
      <w:r w:rsidRPr="005916E3">
        <w:rPr>
          <w:rFonts w:asciiTheme="minorHAnsi" w:eastAsia="Calibri" w:hAnsiTheme="minorHAnsi" w:cstheme="minorHAnsi"/>
          <w:color w:val="000000" w:themeColor="text1"/>
        </w:rPr>
        <w:t xml:space="preserve">which states: </w:t>
      </w:r>
    </w:p>
    <w:p w14:paraId="16473885" w14:textId="77777777" w:rsidR="001F7281" w:rsidRPr="001F7281" w:rsidRDefault="001F7281" w:rsidP="001F7281">
      <w:pPr>
        <w:spacing w:before="1" w:after="240"/>
        <w:rPr>
          <w:rFonts w:asciiTheme="minorHAnsi" w:eastAsia="Calibri" w:hAnsiTheme="minorHAnsi" w:cstheme="minorHAnsi"/>
          <w:color w:val="000000" w:themeColor="text1"/>
        </w:rPr>
      </w:pPr>
    </w:p>
    <w:p w14:paraId="13F5FD9E" w14:textId="77777777" w:rsidR="00C960B9" w:rsidRPr="002C7586" w:rsidRDefault="00C960B9" w:rsidP="00C960B9">
      <w:pPr>
        <w:spacing w:after="240"/>
        <w:jc w:val="center"/>
        <w:rPr>
          <w:rFonts w:asciiTheme="minorHAnsi" w:eastAsia="Calibri" w:hAnsiTheme="minorHAnsi" w:cstheme="minorHAnsi"/>
          <w:color w:val="000000" w:themeColor="text1"/>
        </w:rPr>
      </w:pPr>
      <w:r w:rsidRPr="002C7586">
        <w:rPr>
          <w:rFonts w:asciiTheme="minorHAnsi" w:eastAsia="Calibri" w:hAnsiTheme="minorHAnsi" w:cstheme="minorHAnsi"/>
          <w:b/>
          <w:bCs/>
          <w:color w:val="000000" w:themeColor="text1"/>
        </w:rPr>
        <w:t>Schedule “A” to Memorandum of Settlement for A Renewal Collective Agreement</w:t>
      </w:r>
    </w:p>
    <w:p w14:paraId="5F0F56AF" w14:textId="77777777" w:rsidR="00C960B9" w:rsidRPr="002C7586" w:rsidRDefault="00C960B9" w:rsidP="00C960B9">
      <w:pPr>
        <w:spacing w:after="240" w:line="259" w:lineRule="auto"/>
        <w:jc w:val="center"/>
        <w:rPr>
          <w:rFonts w:asciiTheme="minorHAnsi" w:eastAsia="Calibri" w:hAnsiTheme="minorHAnsi" w:cstheme="minorHAnsi"/>
          <w:color w:val="000000" w:themeColor="text1"/>
        </w:rPr>
      </w:pPr>
      <w:r w:rsidRPr="002C7586">
        <w:rPr>
          <w:rFonts w:asciiTheme="minorHAnsi" w:eastAsia="Calibri" w:hAnsiTheme="minorHAnsi" w:cstheme="minorHAnsi"/>
          <w:b/>
          <w:bCs/>
          <w:color w:val="000000" w:themeColor="text1"/>
        </w:rPr>
        <w:t xml:space="preserve">Proposal Regarding Bill 124 Wage Re-Opener </w:t>
      </w:r>
    </w:p>
    <w:p w14:paraId="6A7D71EE" w14:textId="77777777" w:rsidR="00C960B9" w:rsidRPr="002C7586" w:rsidRDefault="00C960B9" w:rsidP="00C960B9">
      <w:pPr>
        <w:spacing w:after="240"/>
        <w:rPr>
          <w:rFonts w:asciiTheme="minorHAnsi" w:eastAsiaTheme="minorEastAsia" w:hAnsiTheme="minorHAnsi" w:cstheme="minorHAnsi"/>
          <w:color w:val="000000" w:themeColor="text1"/>
        </w:rPr>
      </w:pPr>
      <w:r w:rsidRPr="002C7586">
        <w:rPr>
          <w:rFonts w:asciiTheme="minorHAnsi" w:eastAsia="Arial" w:hAnsiTheme="minorHAnsi" w:cstheme="minorHAnsi"/>
          <w:color w:val="000000" w:themeColor="text1"/>
        </w:rPr>
        <w:t>1.</w:t>
      </w:r>
      <w:r w:rsidRPr="002C7586">
        <w:rPr>
          <w:rFonts w:asciiTheme="minorHAnsi" w:hAnsiTheme="minorHAnsi" w:cstheme="minorHAnsi"/>
        </w:rPr>
        <w:tab/>
      </w:r>
      <w:r w:rsidRPr="002C7586">
        <w:rPr>
          <w:rFonts w:asciiTheme="minorHAnsi" w:eastAsiaTheme="minorEastAsia" w:hAnsiTheme="minorHAnsi" w:cstheme="minorHAnsi"/>
          <w:color w:val="000000" w:themeColor="text1"/>
        </w:rPr>
        <w:t>The University is seeking mutual agreement on any Bill 124 re-opener issues for the 3-year moderation period from September 1, 2020, to August 31, 2023, in the context of negotiations for a multi-year renewal collective agreement on compensation issues from September 1, 2023, onward.</w:t>
      </w:r>
    </w:p>
    <w:p w14:paraId="6988A90D" w14:textId="77777777" w:rsidR="00C960B9" w:rsidRPr="002C7586" w:rsidRDefault="00C960B9" w:rsidP="00C960B9">
      <w:pPr>
        <w:spacing w:after="240"/>
        <w:rPr>
          <w:rFonts w:asciiTheme="minorHAnsi" w:eastAsiaTheme="minorEastAsia" w:hAnsiTheme="minorHAnsi" w:cstheme="minorHAnsi"/>
          <w:color w:val="000000" w:themeColor="text1"/>
        </w:rPr>
      </w:pPr>
      <w:r w:rsidRPr="002C7586">
        <w:rPr>
          <w:rFonts w:asciiTheme="minorHAnsi" w:eastAsiaTheme="minorEastAsia" w:hAnsiTheme="minorHAnsi" w:cstheme="minorHAnsi"/>
          <w:color w:val="000000" w:themeColor="text1"/>
        </w:rPr>
        <w:t>2.</w:t>
      </w:r>
      <w:r w:rsidRPr="002C7586">
        <w:rPr>
          <w:rFonts w:asciiTheme="minorHAnsi" w:hAnsiTheme="minorHAnsi" w:cstheme="minorHAnsi"/>
        </w:rPr>
        <w:tab/>
      </w:r>
      <w:r w:rsidRPr="002C7586">
        <w:rPr>
          <w:rFonts w:asciiTheme="minorHAnsi" w:eastAsiaTheme="minorEastAsia" w:hAnsiTheme="minorHAnsi" w:cstheme="minorHAnsi"/>
          <w:color w:val="000000" w:themeColor="text1"/>
        </w:rPr>
        <w:t>CUPE 3903 confirms its agreement that employees in the CUPE 3903 bargaining unit(s)</w:t>
      </w:r>
      <w:r w:rsidRPr="002C7586">
        <w:rPr>
          <w:rFonts w:asciiTheme="minorHAnsi" w:eastAsiaTheme="minorEastAsia" w:hAnsiTheme="minorHAnsi" w:cstheme="minorHAnsi"/>
          <w:b/>
          <w:bCs/>
          <w:color w:val="000000" w:themeColor="text1"/>
        </w:rPr>
        <w:t xml:space="preserve"> </w:t>
      </w:r>
      <w:r w:rsidRPr="002C7586">
        <w:rPr>
          <w:rFonts w:asciiTheme="minorHAnsi" w:eastAsiaTheme="minorEastAsia" w:hAnsiTheme="minorHAnsi" w:cstheme="minorHAnsi"/>
          <w:color w:val="000000" w:themeColor="text1"/>
        </w:rPr>
        <w:t>should not receive double compensation or recovery of any nature or kind whatsoever for any alleged losses in compensation that are claimed as arising from or related in any way to Bill 124.  Without limiting the generality of the foregoing, this means that if these discussions result in a ratified Memorandum of Settlement for a multi-year renewal collective agreement, CUPE 3903 will reimburse the University for any monies its members</w:t>
      </w:r>
      <w:r w:rsidRPr="002C7586">
        <w:rPr>
          <w:rFonts w:asciiTheme="minorHAnsi" w:eastAsiaTheme="minorEastAsia" w:hAnsiTheme="minorHAnsi" w:cstheme="minorHAnsi"/>
          <w:b/>
          <w:bCs/>
          <w:color w:val="000000" w:themeColor="text1"/>
        </w:rPr>
        <w:t xml:space="preserve"> </w:t>
      </w:r>
      <w:r w:rsidRPr="002C7586">
        <w:rPr>
          <w:rFonts w:asciiTheme="minorHAnsi" w:eastAsiaTheme="minorEastAsia" w:hAnsiTheme="minorHAnsi" w:cstheme="minorHAnsi"/>
          <w:color w:val="000000" w:themeColor="text1"/>
        </w:rPr>
        <w:t>receive directly or indirectly from the Ontario government for lost or forgone compensation during the Bill 124 moderation period.</w:t>
      </w:r>
    </w:p>
    <w:p w14:paraId="3ACA3FA6" w14:textId="77777777" w:rsidR="00C960B9" w:rsidRPr="002C7586" w:rsidRDefault="00C960B9" w:rsidP="00C960B9">
      <w:pPr>
        <w:spacing w:after="240"/>
        <w:rPr>
          <w:rFonts w:asciiTheme="minorHAnsi" w:eastAsiaTheme="minorEastAsia" w:hAnsiTheme="minorHAnsi" w:cstheme="minorHAnsi"/>
          <w:color w:val="000000" w:themeColor="text1"/>
        </w:rPr>
      </w:pPr>
      <w:r w:rsidRPr="002C7586">
        <w:rPr>
          <w:rFonts w:asciiTheme="minorHAnsi" w:eastAsiaTheme="minorEastAsia" w:hAnsiTheme="minorHAnsi" w:cstheme="minorHAnsi"/>
          <w:color w:val="000000" w:themeColor="text1"/>
        </w:rPr>
        <w:t>3.  Should these discussions result in the ratification of a Memorandum of Settlement for a multi-year renewal collective agreement and in the event that Bill 124 is upheld at either the Ontario Court of Appeal or the Supreme Court of Canada, which results in Bill 124 having been or being in force and effect, the parties shall meet to determine the nature and extent of monies required to be repaid to the University by employees in the CUPE 3903 bargaining unit(s)</w:t>
      </w:r>
      <w:r w:rsidRPr="002C7586">
        <w:rPr>
          <w:rFonts w:asciiTheme="minorHAnsi" w:eastAsiaTheme="minorEastAsia" w:hAnsiTheme="minorHAnsi" w:cstheme="minorHAnsi"/>
          <w:b/>
          <w:bCs/>
          <w:color w:val="000000" w:themeColor="text1"/>
        </w:rPr>
        <w:t xml:space="preserve"> </w:t>
      </w:r>
      <w:r w:rsidRPr="002C7586">
        <w:rPr>
          <w:rFonts w:asciiTheme="minorHAnsi" w:eastAsiaTheme="minorEastAsia" w:hAnsiTheme="minorHAnsi" w:cstheme="minorHAnsi"/>
          <w:color w:val="000000" w:themeColor="text1"/>
        </w:rPr>
        <w:t>to be compliant with Bill 124.  If the parties are unable to reach agreement in this regard, Eli Gedalof will be seized as mediator, and if necessary, arbitrator, with respect to determining any remedies.</w:t>
      </w:r>
    </w:p>
    <w:p w14:paraId="7BF89AAB" w14:textId="77777777" w:rsidR="00C960B9" w:rsidRPr="002C7586" w:rsidRDefault="00C960B9" w:rsidP="00C960B9">
      <w:pPr>
        <w:spacing w:after="240"/>
        <w:rPr>
          <w:rFonts w:asciiTheme="minorHAnsi" w:eastAsiaTheme="minorEastAsia" w:hAnsiTheme="minorHAnsi" w:cstheme="minorHAnsi"/>
          <w:color w:val="000000" w:themeColor="text1"/>
        </w:rPr>
      </w:pPr>
      <w:r w:rsidRPr="002C7586">
        <w:rPr>
          <w:rFonts w:asciiTheme="minorHAnsi" w:eastAsiaTheme="minorEastAsia" w:hAnsiTheme="minorHAnsi" w:cstheme="minorHAnsi"/>
          <w:color w:val="000000" w:themeColor="text1"/>
        </w:rPr>
        <w:t>4.</w:t>
      </w:r>
      <w:r w:rsidRPr="002C7586">
        <w:rPr>
          <w:rFonts w:asciiTheme="minorHAnsi" w:hAnsiTheme="minorHAnsi" w:cstheme="minorHAnsi"/>
        </w:rPr>
        <w:tab/>
      </w:r>
      <w:r w:rsidRPr="002C7586">
        <w:rPr>
          <w:rFonts w:asciiTheme="minorHAnsi" w:eastAsiaTheme="minorEastAsia" w:hAnsiTheme="minorHAnsi" w:cstheme="minorHAnsi"/>
          <w:color w:val="000000" w:themeColor="text1"/>
        </w:rPr>
        <w:t xml:space="preserve">Effective September 1, 2022, an increase to Article 10.04.1 (Salary Rates) and Article 15.03.1 (Authorized Replacement) of </w:t>
      </w:r>
      <w:r w:rsidRPr="00A21818">
        <w:rPr>
          <w:rFonts w:asciiTheme="minorHAnsi" w:eastAsiaTheme="minorEastAsia" w:hAnsiTheme="minorHAnsi" w:cstheme="minorHAnsi"/>
          <w:strike/>
        </w:rPr>
        <w:t>3.0</w:t>
      </w:r>
      <w:r>
        <w:rPr>
          <w:rFonts w:asciiTheme="minorHAnsi" w:eastAsiaTheme="minorEastAsia" w:hAnsiTheme="minorHAnsi" w:cstheme="minorHAnsi"/>
        </w:rPr>
        <w:t xml:space="preserve"> </w:t>
      </w:r>
      <w:r w:rsidRPr="00A21818">
        <w:rPr>
          <w:rFonts w:asciiTheme="minorHAnsi" w:eastAsiaTheme="minorEastAsia" w:hAnsiTheme="minorHAnsi" w:cstheme="minorHAnsi"/>
          <w:color w:val="FF0000"/>
          <w:highlight w:val="yellow"/>
        </w:rPr>
        <w:t>3.75</w:t>
      </w:r>
      <w:r w:rsidRPr="002C7586">
        <w:rPr>
          <w:rFonts w:asciiTheme="minorHAnsi" w:eastAsiaTheme="minorEastAsia" w:hAnsiTheme="minorHAnsi" w:cstheme="minorHAnsi"/>
          <w:color w:val="000000" w:themeColor="text1"/>
        </w:rPr>
        <w:t>%.</w:t>
      </w:r>
    </w:p>
    <w:p w14:paraId="0B528A62" w14:textId="77777777" w:rsidR="00C960B9" w:rsidRPr="002C7586" w:rsidRDefault="00C960B9" w:rsidP="00C960B9">
      <w:pPr>
        <w:spacing w:after="240"/>
        <w:rPr>
          <w:rFonts w:asciiTheme="minorHAnsi" w:eastAsiaTheme="minorEastAsia" w:hAnsiTheme="minorHAnsi" w:cstheme="minorHAnsi"/>
          <w:color w:val="000000" w:themeColor="text1"/>
        </w:rPr>
      </w:pPr>
      <w:r w:rsidRPr="002C7586">
        <w:rPr>
          <w:rFonts w:asciiTheme="minorHAnsi" w:eastAsiaTheme="minorEastAsia" w:hAnsiTheme="minorHAnsi" w:cstheme="minorHAnsi"/>
          <w:color w:val="000000" w:themeColor="text1"/>
        </w:rPr>
        <w:t xml:space="preserve">5. </w:t>
      </w:r>
      <w:r w:rsidRPr="002C7586">
        <w:rPr>
          <w:rFonts w:asciiTheme="minorHAnsi" w:hAnsiTheme="minorHAnsi" w:cstheme="minorHAnsi"/>
        </w:rPr>
        <w:tab/>
      </w:r>
      <w:r w:rsidRPr="002C7586">
        <w:rPr>
          <w:rFonts w:asciiTheme="minorHAnsi" w:eastAsiaTheme="minorEastAsia" w:hAnsiTheme="minorHAnsi" w:cstheme="minorHAnsi"/>
          <w:color w:val="000000" w:themeColor="text1"/>
        </w:rPr>
        <w:t xml:space="preserve">Employees in the bargaining unit as of the date of ratification will receive a lump sum payment, less deductions required by law, in an amount equivalent to the difference between the wages they received from September 1, 2022, up to the date of August 31, 2023. These payments will be made on a regular monthly pay date as expeditiously as practicable following ratification of this Memorandum of Settlement for a Renewal Collective Agreement by both parties.  </w:t>
      </w:r>
    </w:p>
    <w:p w14:paraId="7893999B" w14:textId="77777777" w:rsidR="00C960B9" w:rsidRPr="002C7586" w:rsidRDefault="00C960B9" w:rsidP="00C960B9">
      <w:pPr>
        <w:spacing w:after="240"/>
        <w:rPr>
          <w:rFonts w:asciiTheme="minorHAnsi" w:eastAsiaTheme="minorEastAsia" w:hAnsiTheme="minorHAnsi" w:cstheme="minorHAnsi"/>
          <w:color w:val="000000" w:themeColor="text1"/>
        </w:rPr>
      </w:pPr>
      <w:r w:rsidRPr="002C7586">
        <w:rPr>
          <w:rFonts w:asciiTheme="minorHAnsi" w:eastAsiaTheme="minorEastAsia" w:hAnsiTheme="minorHAnsi" w:cstheme="minorHAnsi"/>
          <w:color w:val="000000" w:themeColor="text1"/>
        </w:rPr>
        <w:t xml:space="preserve"> </w:t>
      </w:r>
    </w:p>
    <w:p w14:paraId="5178BE80" w14:textId="77777777" w:rsidR="00C960B9" w:rsidRPr="002C7586" w:rsidRDefault="00C960B9" w:rsidP="00C960B9">
      <w:pPr>
        <w:rPr>
          <w:rFonts w:asciiTheme="minorHAnsi" w:hAnsiTheme="minorHAnsi" w:cstheme="minorHAnsi"/>
        </w:rPr>
      </w:pPr>
      <w:r w:rsidRPr="002C7586">
        <w:rPr>
          <w:rFonts w:asciiTheme="minorHAnsi" w:hAnsiTheme="minorHAnsi" w:cstheme="minorHAnsi"/>
        </w:rPr>
        <w:br w:type="page"/>
      </w:r>
    </w:p>
    <w:p w14:paraId="2031239F" w14:textId="77777777" w:rsidR="00C960B9" w:rsidRPr="002C7586" w:rsidRDefault="00C960B9" w:rsidP="00C960B9">
      <w:pPr>
        <w:spacing w:after="240"/>
        <w:jc w:val="center"/>
        <w:rPr>
          <w:rFonts w:asciiTheme="minorHAnsi" w:eastAsia="Calibri" w:hAnsiTheme="minorHAnsi" w:cstheme="minorHAnsi"/>
          <w:color w:val="000000" w:themeColor="text1"/>
        </w:rPr>
      </w:pPr>
      <w:r w:rsidRPr="002C7586">
        <w:rPr>
          <w:rFonts w:asciiTheme="minorHAnsi" w:eastAsia="Calibri" w:hAnsiTheme="minorHAnsi" w:cstheme="minorHAnsi"/>
          <w:b/>
          <w:bCs/>
          <w:color w:val="000000" w:themeColor="text1"/>
        </w:rPr>
        <w:lastRenderedPageBreak/>
        <w:t>Schedule “B” to Memorandum of Settlement for A Renewal Collective Agreement</w:t>
      </w:r>
    </w:p>
    <w:p w14:paraId="18304C8D" w14:textId="77777777" w:rsidR="00C960B9" w:rsidRPr="002C7586" w:rsidRDefault="00C960B9" w:rsidP="00C960B9">
      <w:pPr>
        <w:spacing w:after="240"/>
        <w:jc w:val="center"/>
        <w:rPr>
          <w:rFonts w:asciiTheme="minorHAnsi" w:eastAsia="Calibri" w:hAnsiTheme="minorHAnsi" w:cstheme="minorHAnsi"/>
          <w:color w:val="000000" w:themeColor="text1"/>
        </w:rPr>
      </w:pPr>
      <w:r w:rsidRPr="002C7586">
        <w:rPr>
          <w:rFonts w:asciiTheme="minorHAnsi" w:eastAsia="Calibri" w:hAnsiTheme="minorHAnsi" w:cstheme="minorHAnsi"/>
          <w:b/>
          <w:bCs/>
          <w:color w:val="000000" w:themeColor="text1"/>
        </w:rPr>
        <w:t>Proposals Regarding Salary and Collective Agreement Funds</w:t>
      </w:r>
    </w:p>
    <w:p w14:paraId="0FF58322" w14:textId="77777777" w:rsidR="00C960B9" w:rsidRPr="002C7586" w:rsidRDefault="00C960B9" w:rsidP="00C960B9">
      <w:pPr>
        <w:pStyle w:val="ListParagraph"/>
        <w:numPr>
          <w:ilvl w:val="0"/>
          <w:numId w:val="4"/>
        </w:numPr>
        <w:rPr>
          <w:rFonts w:asciiTheme="minorHAnsi" w:eastAsia="Calibri" w:hAnsiTheme="minorHAnsi" w:cstheme="minorHAnsi"/>
          <w:b/>
          <w:bCs/>
        </w:rPr>
      </w:pPr>
      <w:r w:rsidRPr="002C7586">
        <w:rPr>
          <w:rFonts w:asciiTheme="minorHAnsi" w:eastAsia="Calibri" w:hAnsiTheme="minorHAnsi" w:cstheme="minorHAnsi"/>
          <w:b/>
          <w:bCs/>
        </w:rPr>
        <w:t>Article 10.04.1 (Salary Rates) and Article 15.03.1 (Authorized Replacement)</w:t>
      </w:r>
    </w:p>
    <w:p w14:paraId="58B474E2" w14:textId="77777777" w:rsidR="00C960B9" w:rsidRPr="002C7586" w:rsidRDefault="00C960B9" w:rsidP="00C960B9">
      <w:pPr>
        <w:ind w:firstLine="720"/>
        <w:rPr>
          <w:rFonts w:asciiTheme="minorHAnsi" w:eastAsia="Calibri" w:hAnsiTheme="minorHAnsi" w:cstheme="minorHAnsi"/>
          <w:color w:val="000000" w:themeColor="text1"/>
        </w:rPr>
      </w:pPr>
    </w:p>
    <w:p w14:paraId="1DF4F186" w14:textId="77777777" w:rsidR="00C960B9" w:rsidRPr="002C7586" w:rsidRDefault="00C960B9" w:rsidP="00C960B9">
      <w:pPr>
        <w:ind w:firstLine="720"/>
        <w:rPr>
          <w:rFonts w:asciiTheme="minorHAnsi" w:eastAsia="Calibri" w:hAnsiTheme="minorHAnsi" w:cstheme="minorHAnsi"/>
          <w:color w:val="000000" w:themeColor="text1"/>
        </w:rPr>
      </w:pPr>
      <w:r w:rsidRPr="002C7586">
        <w:rPr>
          <w:rFonts w:asciiTheme="minorHAnsi" w:eastAsia="Calibri" w:hAnsiTheme="minorHAnsi" w:cstheme="minorHAnsi"/>
          <w:color w:val="000000" w:themeColor="text1"/>
        </w:rPr>
        <w:t xml:space="preserve">Increase salary rates in 10.04.1 and authorized replacement rates in 15.03.1 by </w:t>
      </w:r>
    </w:p>
    <w:p w14:paraId="58E258FA" w14:textId="77777777" w:rsidR="00C960B9" w:rsidRPr="002C7586" w:rsidRDefault="00C960B9" w:rsidP="00C960B9">
      <w:pPr>
        <w:pStyle w:val="ListParagraph"/>
        <w:numPr>
          <w:ilvl w:val="0"/>
          <w:numId w:val="3"/>
        </w:numPr>
        <w:rPr>
          <w:rFonts w:asciiTheme="minorHAnsi" w:eastAsia="Calibri" w:hAnsiTheme="minorHAnsi" w:cstheme="minorHAnsi"/>
          <w:color w:val="000000" w:themeColor="text1"/>
        </w:rPr>
      </w:pPr>
      <w:r w:rsidRPr="002C7586">
        <w:rPr>
          <w:rFonts w:asciiTheme="minorHAnsi" w:eastAsia="Calibri" w:hAnsiTheme="minorHAnsi" w:cstheme="minorHAnsi"/>
          <w:color w:val="000000" w:themeColor="text1"/>
        </w:rPr>
        <w:t>3.0% effective September 1, 2023;</w:t>
      </w:r>
    </w:p>
    <w:p w14:paraId="7E7C4A9B" w14:textId="77777777" w:rsidR="00C960B9" w:rsidRPr="00682312" w:rsidRDefault="00C960B9" w:rsidP="00C960B9">
      <w:pPr>
        <w:pStyle w:val="ListParagraph"/>
        <w:numPr>
          <w:ilvl w:val="0"/>
          <w:numId w:val="3"/>
        </w:numPr>
        <w:rPr>
          <w:rFonts w:asciiTheme="minorHAnsi" w:eastAsiaTheme="minorEastAsia" w:hAnsiTheme="minorHAnsi" w:cstheme="minorHAnsi"/>
        </w:rPr>
      </w:pPr>
      <w:r w:rsidRPr="00A21818">
        <w:rPr>
          <w:rFonts w:asciiTheme="minorHAnsi" w:eastAsiaTheme="minorEastAsia" w:hAnsiTheme="minorHAnsi" w:cstheme="minorHAnsi"/>
          <w:strike/>
        </w:rPr>
        <w:t>2.5</w:t>
      </w:r>
      <w:r>
        <w:rPr>
          <w:rFonts w:asciiTheme="minorHAnsi" w:eastAsiaTheme="minorEastAsia" w:hAnsiTheme="minorHAnsi" w:cstheme="minorHAnsi"/>
        </w:rPr>
        <w:t xml:space="preserve"> </w:t>
      </w:r>
      <w:r w:rsidRPr="00A21818">
        <w:rPr>
          <w:rFonts w:asciiTheme="minorHAnsi" w:eastAsiaTheme="minorEastAsia" w:hAnsiTheme="minorHAnsi" w:cstheme="minorHAnsi"/>
          <w:color w:val="FF0000"/>
          <w:highlight w:val="yellow"/>
        </w:rPr>
        <w:t>2.75</w:t>
      </w:r>
      <w:r w:rsidRPr="00682312">
        <w:rPr>
          <w:rFonts w:asciiTheme="minorHAnsi" w:eastAsiaTheme="minorEastAsia" w:hAnsiTheme="minorHAnsi" w:cstheme="minorHAnsi"/>
        </w:rPr>
        <w:t xml:space="preserve">% September 1, 2024; </w:t>
      </w:r>
    </w:p>
    <w:p w14:paraId="014709B5" w14:textId="77777777" w:rsidR="00C960B9" w:rsidRPr="00682312" w:rsidRDefault="00C960B9" w:rsidP="00C960B9">
      <w:pPr>
        <w:pStyle w:val="ListParagraph"/>
        <w:numPr>
          <w:ilvl w:val="0"/>
          <w:numId w:val="3"/>
        </w:numPr>
        <w:rPr>
          <w:rFonts w:asciiTheme="minorHAnsi" w:eastAsia="Arial" w:hAnsiTheme="minorHAnsi" w:cstheme="minorHAnsi"/>
        </w:rPr>
      </w:pPr>
      <w:r w:rsidRPr="00A21818">
        <w:rPr>
          <w:rFonts w:asciiTheme="minorHAnsi" w:eastAsiaTheme="minorEastAsia" w:hAnsiTheme="minorHAnsi" w:cstheme="minorHAnsi"/>
          <w:strike/>
        </w:rPr>
        <w:t>2</w:t>
      </w:r>
      <w:r>
        <w:rPr>
          <w:rFonts w:asciiTheme="minorHAnsi" w:eastAsiaTheme="minorEastAsia" w:hAnsiTheme="minorHAnsi" w:cstheme="minorHAnsi"/>
          <w:strike/>
        </w:rPr>
        <w:t>.0</w:t>
      </w:r>
      <w:r>
        <w:rPr>
          <w:rFonts w:asciiTheme="minorHAnsi" w:eastAsiaTheme="minorEastAsia" w:hAnsiTheme="minorHAnsi" w:cstheme="minorHAnsi"/>
        </w:rPr>
        <w:t xml:space="preserve"> </w:t>
      </w:r>
      <w:r w:rsidRPr="00A21818">
        <w:rPr>
          <w:rFonts w:asciiTheme="minorHAnsi" w:eastAsiaTheme="minorEastAsia" w:hAnsiTheme="minorHAnsi" w:cstheme="minorHAnsi"/>
          <w:color w:val="FF0000"/>
          <w:highlight w:val="yellow"/>
        </w:rPr>
        <w:t>2.25</w:t>
      </w:r>
      <w:r w:rsidRPr="00682312">
        <w:rPr>
          <w:rFonts w:asciiTheme="minorHAnsi" w:eastAsiaTheme="minorEastAsia" w:hAnsiTheme="minorHAnsi" w:cstheme="minorHAnsi"/>
        </w:rPr>
        <w:t>% September 1, 2025.</w:t>
      </w:r>
      <w:r w:rsidRPr="00682312">
        <w:rPr>
          <w:rFonts w:asciiTheme="minorHAnsi" w:eastAsia="Calibri" w:hAnsiTheme="minorHAnsi" w:cstheme="minorHAnsi"/>
        </w:rPr>
        <w:t xml:space="preserve"> </w:t>
      </w:r>
    </w:p>
    <w:p w14:paraId="1D4C1FBA" w14:textId="77777777" w:rsidR="00C960B9" w:rsidRPr="002C7586" w:rsidRDefault="00C960B9" w:rsidP="00C960B9">
      <w:pPr>
        <w:rPr>
          <w:rFonts w:asciiTheme="minorHAnsi" w:eastAsia="Calibri" w:hAnsiTheme="minorHAnsi" w:cstheme="minorHAnsi"/>
          <w:b/>
          <w:bCs/>
        </w:rPr>
      </w:pPr>
    </w:p>
    <w:p w14:paraId="0C69D42D" w14:textId="77777777" w:rsidR="00C960B9" w:rsidRPr="002C7586" w:rsidRDefault="00C960B9" w:rsidP="00C960B9">
      <w:pPr>
        <w:rPr>
          <w:rFonts w:asciiTheme="minorHAnsi" w:hAnsiTheme="minorHAnsi" w:cstheme="minorHAnsi"/>
        </w:rPr>
      </w:pPr>
      <w:r w:rsidRPr="002C7586">
        <w:rPr>
          <w:rFonts w:asciiTheme="minorHAnsi" w:hAnsiTheme="minorHAnsi" w:cstheme="minorHAnsi"/>
        </w:rPr>
        <w:br/>
      </w:r>
      <w:r w:rsidRPr="002C7586">
        <w:rPr>
          <w:rFonts w:asciiTheme="minorHAnsi" w:eastAsia="Calibri" w:hAnsiTheme="minorHAnsi" w:cstheme="minorHAnsi"/>
        </w:rPr>
        <w:t xml:space="preserve">        </w:t>
      </w:r>
      <w:r w:rsidRPr="002C7586">
        <w:rPr>
          <w:rFonts w:asciiTheme="minorHAnsi" w:eastAsia="Calibri" w:hAnsiTheme="minorHAnsi" w:cstheme="minorHAnsi"/>
          <w:b/>
          <w:bCs/>
        </w:rPr>
        <w:t>2.</w:t>
      </w:r>
      <w:r w:rsidRPr="002C7586">
        <w:rPr>
          <w:rFonts w:asciiTheme="minorHAnsi" w:hAnsiTheme="minorHAnsi" w:cstheme="minorHAnsi"/>
        </w:rPr>
        <w:tab/>
      </w:r>
      <w:r w:rsidRPr="002C7586">
        <w:rPr>
          <w:rFonts w:asciiTheme="minorHAnsi" w:eastAsia="Calibri" w:hAnsiTheme="minorHAnsi" w:cstheme="minorHAnsi"/>
          <w:b/>
          <w:bCs/>
        </w:rPr>
        <w:t xml:space="preserve">Collective Agreement Funds </w:t>
      </w:r>
      <w:r w:rsidRPr="002C7586">
        <w:rPr>
          <w:rFonts w:asciiTheme="minorHAnsi" w:hAnsiTheme="minorHAnsi" w:cstheme="minorHAnsi"/>
        </w:rPr>
        <w:br/>
      </w:r>
      <w:r w:rsidRPr="002C7586">
        <w:rPr>
          <w:rFonts w:asciiTheme="minorHAnsi" w:hAnsiTheme="minorHAnsi" w:cstheme="minorHAnsi"/>
        </w:rPr>
        <w:tab/>
      </w:r>
    </w:p>
    <w:p w14:paraId="52FD8AC4" w14:textId="77777777" w:rsidR="00C960B9" w:rsidRPr="002C7586" w:rsidRDefault="00C960B9" w:rsidP="00C960B9">
      <w:pPr>
        <w:ind w:firstLine="720"/>
        <w:rPr>
          <w:rFonts w:asciiTheme="minorHAnsi" w:eastAsia="Calibri" w:hAnsiTheme="minorHAnsi" w:cstheme="minorHAnsi"/>
        </w:rPr>
      </w:pPr>
      <w:r w:rsidRPr="002C7586">
        <w:rPr>
          <w:rFonts w:asciiTheme="minorHAnsi" w:eastAsia="Calibri" w:hAnsiTheme="minorHAnsi" w:cstheme="minorHAnsi"/>
          <w:color w:val="000000" w:themeColor="text1"/>
        </w:rPr>
        <w:t xml:space="preserve">Increase the following Funds by 1% in each of the 2023-24, 2024-25, and 2025-26 contract </w:t>
      </w:r>
      <w:r w:rsidRPr="002C7586">
        <w:rPr>
          <w:rFonts w:asciiTheme="minorHAnsi" w:hAnsiTheme="minorHAnsi" w:cstheme="minorHAnsi"/>
        </w:rPr>
        <w:tab/>
      </w:r>
      <w:r w:rsidRPr="002C7586">
        <w:rPr>
          <w:rFonts w:asciiTheme="minorHAnsi" w:eastAsia="Calibri" w:hAnsiTheme="minorHAnsi" w:cstheme="minorHAnsi"/>
          <w:color w:val="000000" w:themeColor="text1"/>
        </w:rPr>
        <w:t>years:</w:t>
      </w:r>
      <w:r w:rsidRPr="002C7586">
        <w:rPr>
          <w:rFonts w:asciiTheme="minorHAnsi" w:hAnsiTheme="minorHAnsi" w:cstheme="minorHAnsi"/>
        </w:rPr>
        <w:br/>
      </w:r>
    </w:p>
    <w:tbl>
      <w:tblPr>
        <w:tblW w:w="0" w:type="auto"/>
        <w:tblInd w:w="720" w:type="dxa"/>
        <w:tblLayout w:type="fixed"/>
        <w:tblLook w:val="04A0" w:firstRow="1" w:lastRow="0" w:firstColumn="1" w:lastColumn="0" w:noHBand="0" w:noVBand="1"/>
      </w:tblPr>
      <w:tblGrid>
        <w:gridCol w:w="1980"/>
        <w:gridCol w:w="3975"/>
      </w:tblGrid>
      <w:tr w:rsidR="00C960B9" w:rsidRPr="002C7586" w14:paraId="53E68175" w14:textId="77777777" w:rsidTr="00BD5C90">
        <w:trPr>
          <w:trHeight w:val="285"/>
        </w:trPr>
        <w:tc>
          <w:tcPr>
            <w:tcW w:w="1980" w:type="dxa"/>
            <w:tcMar>
              <w:left w:w="108" w:type="dxa"/>
              <w:right w:w="108" w:type="dxa"/>
            </w:tcMar>
          </w:tcPr>
          <w:p w14:paraId="63C15D2D" w14:textId="77777777" w:rsidR="00C960B9" w:rsidRPr="002C7586" w:rsidRDefault="00C960B9" w:rsidP="00BD5C90">
            <w:pPr>
              <w:rPr>
                <w:rFonts w:asciiTheme="minorHAnsi" w:hAnsiTheme="minorHAnsi" w:cstheme="minorHAnsi"/>
              </w:rPr>
            </w:pPr>
            <w:r w:rsidRPr="002C7586">
              <w:rPr>
                <w:rFonts w:asciiTheme="minorHAnsi" w:eastAsia="Calibri" w:hAnsiTheme="minorHAnsi" w:cstheme="minorHAnsi"/>
                <w:color w:val="000000" w:themeColor="text1"/>
              </w:rPr>
              <w:t>Article 15.12.</w:t>
            </w:r>
            <w:r w:rsidRPr="00E75ABF">
              <w:rPr>
                <w:rFonts w:asciiTheme="minorHAnsi" w:eastAsia="Calibri" w:hAnsiTheme="minorHAnsi" w:cstheme="minorHAnsi"/>
                <w:dstrike/>
                <w:color w:val="000000" w:themeColor="text1"/>
              </w:rPr>
              <w:t>1</w:t>
            </w:r>
            <w:r w:rsidRPr="00E75ABF">
              <w:rPr>
                <w:rFonts w:asciiTheme="minorHAnsi" w:eastAsia="Calibri" w:hAnsiTheme="minorHAnsi" w:cstheme="minorHAnsi"/>
                <w:color w:val="FF0000"/>
                <w:highlight w:val="yellow"/>
              </w:rPr>
              <w:t>4</w:t>
            </w:r>
          </w:p>
        </w:tc>
        <w:tc>
          <w:tcPr>
            <w:tcW w:w="3975" w:type="dxa"/>
            <w:tcMar>
              <w:left w:w="108" w:type="dxa"/>
              <w:right w:w="108" w:type="dxa"/>
            </w:tcMar>
            <w:vAlign w:val="bottom"/>
          </w:tcPr>
          <w:p w14:paraId="0C2072F3" w14:textId="77777777" w:rsidR="00C960B9" w:rsidRPr="002C7586" w:rsidRDefault="00C960B9" w:rsidP="00BD5C90">
            <w:pPr>
              <w:rPr>
                <w:rFonts w:asciiTheme="minorHAnsi" w:hAnsiTheme="minorHAnsi" w:cstheme="minorHAnsi"/>
              </w:rPr>
            </w:pPr>
            <w:r w:rsidRPr="002C7586">
              <w:rPr>
                <w:rFonts w:asciiTheme="minorHAnsi" w:eastAsia="Calibri" w:hAnsiTheme="minorHAnsi" w:cstheme="minorHAnsi"/>
                <w:color w:val="000000" w:themeColor="text1"/>
              </w:rPr>
              <w:t>Childcare Fund</w:t>
            </w:r>
          </w:p>
        </w:tc>
      </w:tr>
      <w:tr w:rsidR="00C960B9" w:rsidRPr="002C7586" w14:paraId="6EC55956" w14:textId="77777777" w:rsidTr="00BD5C90">
        <w:trPr>
          <w:trHeight w:val="285"/>
        </w:trPr>
        <w:tc>
          <w:tcPr>
            <w:tcW w:w="1980" w:type="dxa"/>
            <w:tcMar>
              <w:left w:w="108" w:type="dxa"/>
              <w:right w:w="108" w:type="dxa"/>
            </w:tcMar>
          </w:tcPr>
          <w:p w14:paraId="4D0153A6" w14:textId="77777777" w:rsidR="00C960B9" w:rsidRPr="002C7586" w:rsidRDefault="00C960B9" w:rsidP="00BD5C90">
            <w:pPr>
              <w:rPr>
                <w:rFonts w:asciiTheme="minorHAnsi" w:hAnsiTheme="minorHAnsi" w:cstheme="minorHAnsi"/>
              </w:rPr>
            </w:pPr>
            <w:r w:rsidRPr="002C7586">
              <w:rPr>
                <w:rFonts w:asciiTheme="minorHAnsi" w:eastAsia="Calibri" w:hAnsiTheme="minorHAnsi" w:cstheme="minorHAnsi"/>
                <w:color w:val="000000" w:themeColor="text1"/>
              </w:rPr>
              <w:t>Article 15.19</w:t>
            </w:r>
          </w:p>
        </w:tc>
        <w:tc>
          <w:tcPr>
            <w:tcW w:w="3975" w:type="dxa"/>
            <w:tcMar>
              <w:left w:w="108" w:type="dxa"/>
              <w:right w:w="108" w:type="dxa"/>
            </w:tcMar>
            <w:vAlign w:val="bottom"/>
          </w:tcPr>
          <w:p w14:paraId="46F2E198" w14:textId="77777777" w:rsidR="00C960B9" w:rsidRPr="002C7586" w:rsidRDefault="00C960B9" w:rsidP="00BD5C90">
            <w:pPr>
              <w:rPr>
                <w:rFonts w:asciiTheme="minorHAnsi" w:hAnsiTheme="minorHAnsi" w:cstheme="minorHAnsi"/>
              </w:rPr>
            </w:pPr>
            <w:r w:rsidRPr="002C7586">
              <w:rPr>
                <w:rFonts w:asciiTheme="minorHAnsi" w:eastAsia="Calibri" w:hAnsiTheme="minorHAnsi" w:cstheme="minorHAnsi"/>
                <w:color w:val="000000" w:themeColor="text1"/>
              </w:rPr>
              <w:t>Professional Development Fund</w:t>
            </w:r>
          </w:p>
        </w:tc>
      </w:tr>
      <w:tr w:rsidR="00C960B9" w:rsidRPr="002C7586" w14:paraId="1C1BECFE" w14:textId="77777777" w:rsidTr="00BD5C90">
        <w:trPr>
          <w:trHeight w:val="285"/>
        </w:trPr>
        <w:tc>
          <w:tcPr>
            <w:tcW w:w="1980" w:type="dxa"/>
            <w:tcMar>
              <w:left w:w="108" w:type="dxa"/>
              <w:right w:w="108" w:type="dxa"/>
            </w:tcMar>
          </w:tcPr>
          <w:p w14:paraId="24011F45" w14:textId="77777777" w:rsidR="00C960B9" w:rsidRPr="002C7586" w:rsidRDefault="00C960B9" w:rsidP="00BD5C90">
            <w:pPr>
              <w:rPr>
                <w:rFonts w:asciiTheme="minorHAnsi" w:hAnsiTheme="minorHAnsi" w:cstheme="minorHAnsi"/>
              </w:rPr>
            </w:pPr>
            <w:r w:rsidRPr="002C7586">
              <w:rPr>
                <w:rFonts w:asciiTheme="minorHAnsi" w:eastAsia="Calibri" w:hAnsiTheme="minorHAnsi" w:cstheme="minorHAnsi"/>
                <w:color w:val="000000" w:themeColor="text1"/>
              </w:rPr>
              <w:t>Article 15.24</w:t>
            </w:r>
          </w:p>
        </w:tc>
        <w:tc>
          <w:tcPr>
            <w:tcW w:w="3975" w:type="dxa"/>
            <w:tcMar>
              <w:left w:w="108" w:type="dxa"/>
              <w:right w:w="108" w:type="dxa"/>
            </w:tcMar>
            <w:vAlign w:val="bottom"/>
          </w:tcPr>
          <w:p w14:paraId="5A196A9D" w14:textId="77777777" w:rsidR="00C960B9" w:rsidRPr="002C7586" w:rsidRDefault="00C960B9" w:rsidP="00BD5C90">
            <w:pPr>
              <w:rPr>
                <w:rFonts w:asciiTheme="minorHAnsi" w:hAnsiTheme="minorHAnsi" w:cstheme="minorHAnsi"/>
              </w:rPr>
            </w:pPr>
            <w:r w:rsidRPr="002C7586">
              <w:rPr>
                <w:rFonts w:asciiTheme="minorHAnsi" w:eastAsia="Calibri" w:hAnsiTheme="minorHAnsi" w:cstheme="minorHAnsi"/>
                <w:color w:val="000000" w:themeColor="text1"/>
              </w:rPr>
              <w:t>Equity Fund</w:t>
            </w:r>
          </w:p>
        </w:tc>
      </w:tr>
      <w:tr w:rsidR="00C960B9" w:rsidRPr="002C7586" w14:paraId="67D5F559" w14:textId="77777777" w:rsidTr="00BD5C90">
        <w:trPr>
          <w:trHeight w:val="285"/>
        </w:trPr>
        <w:tc>
          <w:tcPr>
            <w:tcW w:w="1980" w:type="dxa"/>
            <w:tcMar>
              <w:left w:w="108" w:type="dxa"/>
              <w:right w:w="108" w:type="dxa"/>
            </w:tcMar>
          </w:tcPr>
          <w:p w14:paraId="765F8B96" w14:textId="77777777" w:rsidR="00C960B9" w:rsidRPr="002C7586" w:rsidRDefault="00C960B9" w:rsidP="00BD5C90">
            <w:pPr>
              <w:rPr>
                <w:rFonts w:asciiTheme="minorHAnsi" w:hAnsiTheme="minorHAnsi" w:cstheme="minorHAnsi"/>
              </w:rPr>
            </w:pPr>
            <w:r w:rsidRPr="002C7586">
              <w:rPr>
                <w:rFonts w:asciiTheme="minorHAnsi" w:eastAsia="Calibri" w:hAnsiTheme="minorHAnsi" w:cstheme="minorHAnsi"/>
                <w:color w:val="000000" w:themeColor="text1"/>
              </w:rPr>
              <w:t>Article 15.30</w:t>
            </w:r>
          </w:p>
        </w:tc>
        <w:tc>
          <w:tcPr>
            <w:tcW w:w="3975" w:type="dxa"/>
            <w:tcMar>
              <w:left w:w="108" w:type="dxa"/>
              <w:right w:w="108" w:type="dxa"/>
            </w:tcMar>
            <w:vAlign w:val="bottom"/>
          </w:tcPr>
          <w:p w14:paraId="4A7AE5FD" w14:textId="77777777" w:rsidR="00C960B9" w:rsidRPr="002C7586" w:rsidRDefault="00C960B9" w:rsidP="00BD5C90">
            <w:pPr>
              <w:rPr>
                <w:rFonts w:asciiTheme="minorHAnsi" w:hAnsiTheme="minorHAnsi" w:cstheme="minorHAnsi"/>
              </w:rPr>
            </w:pPr>
            <w:r w:rsidRPr="002C7586">
              <w:rPr>
                <w:rFonts w:asciiTheme="minorHAnsi" w:eastAsia="Calibri" w:hAnsiTheme="minorHAnsi" w:cstheme="minorHAnsi"/>
                <w:color w:val="000000" w:themeColor="text1"/>
              </w:rPr>
              <w:t>CUPE 3903 Benefits Fund</w:t>
            </w:r>
          </w:p>
        </w:tc>
      </w:tr>
      <w:tr w:rsidR="00C960B9" w:rsidRPr="002C7586" w14:paraId="593384F9" w14:textId="77777777" w:rsidTr="00BD5C90">
        <w:trPr>
          <w:trHeight w:val="285"/>
        </w:trPr>
        <w:tc>
          <w:tcPr>
            <w:tcW w:w="1980" w:type="dxa"/>
            <w:tcMar>
              <w:left w:w="108" w:type="dxa"/>
              <w:right w:w="108" w:type="dxa"/>
            </w:tcMar>
          </w:tcPr>
          <w:p w14:paraId="16323A64" w14:textId="77777777" w:rsidR="00C960B9" w:rsidRPr="002C7586" w:rsidRDefault="00C960B9" w:rsidP="00BD5C90">
            <w:pPr>
              <w:rPr>
                <w:rFonts w:asciiTheme="minorHAnsi" w:hAnsiTheme="minorHAnsi" w:cstheme="minorHAnsi"/>
              </w:rPr>
            </w:pPr>
            <w:r w:rsidRPr="002C7586">
              <w:rPr>
                <w:rFonts w:asciiTheme="minorHAnsi" w:eastAsia="Calibri" w:hAnsiTheme="minorHAnsi" w:cstheme="minorHAnsi"/>
                <w:color w:val="000000" w:themeColor="text1"/>
              </w:rPr>
              <w:t>Article 20</w:t>
            </w:r>
          </w:p>
        </w:tc>
        <w:tc>
          <w:tcPr>
            <w:tcW w:w="3975" w:type="dxa"/>
            <w:tcMar>
              <w:left w:w="108" w:type="dxa"/>
              <w:right w:w="108" w:type="dxa"/>
            </w:tcMar>
            <w:vAlign w:val="bottom"/>
          </w:tcPr>
          <w:p w14:paraId="1FF6C6C0" w14:textId="77777777" w:rsidR="00C960B9" w:rsidRPr="002C7586" w:rsidRDefault="00C960B9" w:rsidP="00BD5C90">
            <w:pPr>
              <w:rPr>
                <w:rFonts w:asciiTheme="minorHAnsi" w:hAnsiTheme="minorHAnsi" w:cstheme="minorHAnsi"/>
              </w:rPr>
            </w:pPr>
            <w:r w:rsidRPr="002C7586">
              <w:rPr>
                <w:rFonts w:asciiTheme="minorHAnsi" w:eastAsia="Calibri" w:hAnsiTheme="minorHAnsi" w:cstheme="minorHAnsi"/>
                <w:color w:val="000000" w:themeColor="text1"/>
              </w:rPr>
              <w:t>Ways and Means Fund</w:t>
            </w:r>
          </w:p>
        </w:tc>
      </w:tr>
    </w:tbl>
    <w:p w14:paraId="28811A67" w14:textId="77777777" w:rsidR="00C960B9" w:rsidRPr="002C7586" w:rsidRDefault="00C960B9" w:rsidP="00C960B9">
      <w:pPr>
        <w:rPr>
          <w:rFonts w:asciiTheme="minorHAnsi" w:eastAsiaTheme="minorEastAsia" w:hAnsiTheme="minorHAnsi" w:cstheme="minorHAnsi"/>
          <w:color w:val="000000" w:themeColor="text1"/>
        </w:rPr>
      </w:pPr>
    </w:p>
    <w:p w14:paraId="55AF54FE" w14:textId="77777777" w:rsidR="003538F0" w:rsidRDefault="003538F0" w:rsidP="00C960B9">
      <w:pPr>
        <w:spacing w:after="240"/>
        <w:jc w:val="center"/>
      </w:pPr>
    </w:p>
    <w:sectPr w:rsidR="003538F0">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22A19" w14:textId="77777777" w:rsidR="004D7F05" w:rsidRDefault="004D7F05" w:rsidP="004D7F05">
      <w:r>
        <w:separator/>
      </w:r>
    </w:p>
  </w:endnote>
  <w:endnote w:type="continuationSeparator" w:id="0">
    <w:p w14:paraId="2AC9D3A6" w14:textId="77777777" w:rsidR="004D7F05" w:rsidRDefault="004D7F05" w:rsidP="004D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EACEA" w14:textId="77777777" w:rsidR="004D7F05" w:rsidRDefault="004D7F05" w:rsidP="004D7F05">
      <w:r>
        <w:separator/>
      </w:r>
    </w:p>
  </w:footnote>
  <w:footnote w:type="continuationSeparator" w:id="0">
    <w:p w14:paraId="15266B14" w14:textId="77777777" w:rsidR="004D7F05" w:rsidRDefault="004D7F05" w:rsidP="004D7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FD38" w14:textId="77777777" w:rsidR="004D7F05" w:rsidRPr="00845B8F" w:rsidRDefault="004D7F05" w:rsidP="004D7F05">
    <w:pPr>
      <w:pStyle w:val="Header"/>
      <w:rPr>
        <w:rFonts w:asciiTheme="minorHAnsi" w:hAnsiTheme="minorHAnsi" w:cstheme="minorHAnsi"/>
      </w:rPr>
    </w:pPr>
    <w:r>
      <w:rPr>
        <w:rFonts w:asciiTheme="minorHAnsi" w:hAnsiTheme="minorHAnsi" w:cstheme="minorHAnsi"/>
      </w:rPr>
      <w:t>Feb 07</w:t>
    </w:r>
    <w:r w:rsidRPr="00845B8F">
      <w:rPr>
        <w:rFonts w:asciiTheme="minorHAnsi" w:hAnsiTheme="minorHAnsi" w:cstheme="minorHAnsi"/>
      </w:rPr>
      <w:t>, 202</w:t>
    </w:r>
    <w:r>
      <w:rPr>
        <w:rFonts w:asciiTheme="minorHAnsi" w:hAnsiTheme="minorHAnsi" w:cstheme="minorHAnsi"/>
      </w:rPr>
      <w:t>4</w:t>
    </w:r>
    <w:r w:rsidRPr="00845B8F">
      <w:rPr>
        <w:rFonts w:asciiTheme="minorHAnsi" w:hAnsiTheme="minorHAnsi" w:cstheme="minorHAnsi"/>
      </w:rPr>
      <w:t xml:space="preserve"> </w:t>
    </w:r>
  </w:p>
  <w:p w14:paraId="64B91905" w14:textId="77777777" w:rsidR="004D7F05" w:rsidRDefault="004D7F05" w:rsidP="004D7F05">
    <w:pPr>
      <w:pStyle w:val="Header"/>
      <w:rPr>
        <w:rFonts w:asciiTheme="minorHAnsi" w:hAnsiTheme="minorHAnsi" w:cstheme="minorHAnsi"/>
      </w:rPr>
    </w:pPr>
    <w:r w:rsidRPr="00845B8F">
      <w:rPr>
        <w:rFonts w:asciiTheme="minorHAnsi" w:hAnsiTheme="minorHAnsi" w:cstheme="minorHAnsi"/>
      </w:rPr>
      <w:t xml:space="preserve">Employer Proposal without prejudice </w:t>
    </w:r>
  </w:p>
  <w:p w14:paraId="2C01C031" w14:textId="01CB04B7" w:rsidR="004D7F05" w:rsidRDefault="004D7F05" w:rsidP="004D7F05">
    <w:pPr>
      <w:pStyle w:val="Header"/>
      <w:rPr>
        <w:rFonts w:asciiTheme="minorHAnsi" w:hAnsiTheme="minorHAnsi" w:cstheme="minorHAnsi"/>
      </w:rPr>
    </w:pPr>
    <w:r>
      <w:rPr>
        <w:rFonts w:asciiTheme="minorHAnsi" w:hAnsiTheme="minorHAnsi" w:cstheme="minorHAnsi"/>
      </w:rPr>
      <w:t xml:space="preserve">Unit </w:t>
    </w:r>
    <w:r>
      <w:rPr>
        <w:rFonts w:asciiTheme="minorHAnsi" w:hAnsiTheme="minorHAnsi" w:cstheme="minorHAnsi"/>
      </w:rPr>
      <w:t>2</w:t>
    </w:r>
    <w:r>
      <w:rPr>
        <w:rFonts w:asciiTheme="minorHAnsi" w:hAnsiTheme="minorHAnsi" w:cstheme="minorHAnsi"/>
      </w:rPr>
      <w:t xml:space="preserve"> – Compensation </w:t>
    </w:r>
  </w:p>
  <w:p w14:paraId="4F26AE8F" w14:textId="77777777" w:rsidR="004D7F05" w:rsidRDefault="004D7F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B666"/>
    <w:multiLevelType w:val="hybridMultilevel"/>
    <w:tmpl w:val="4FC0F414"/>
    <w:lvl w:ilvl="0" w:tplc="55E81FCC">
      <w:start w:val="1"/>
      <w:numFmt w:val="bullet"/>
      <w:lvlText w:val="·"/>
      <w:lvlJc w:val="left"/>
      <w:pPr>
        <w:ind w:left="1080" w:hanging="360"/>
      </w:pPr>
      <w:rPr>
        <w:rFonts w:ascii="Symbol" w:hAnsi="Symbol" w:hint="default"/>
      </w:rPr>
    </w:lvl>
    <w:lvl w:ilvl="1" w:tplc="1D1291DE">
      <w:start w:val="1"/>
      <w:numFmt w:val="bullet"/>
      <w:lvlText w:val="o"/>
      <w:lvlJc w:val="left"/>
      <w:pPr>
        <w:ind w:left="1800" w:hanging="360"/>
      </w:pPr>
      <w:rPr>
        <w:rFonts w:ascii="Courier New" w:hAnsi="Courier New" w:hint="default"/>
      </w:rPr>
    </w:lvl>
    <w:lvl w:ilvl="2" w:tplc="58A8BD7A">
      <w:start w:val="1"/>
      <w:numFmt w:val="bullet"/>
      <w:lvlText w:val=""/>
      <w:lvlJc w:val="left"/>
      <w:pPr>
        <w:ind w:left="2520" w:hanging="360"/>
      </w:pPr>
      <w:rPr>
        <w:rFonts w:ascii="Wingdings" w:hAnsi="Wingdings" w:hint="default"/>
      </w:rPr>
    </w:lvl>
    <w:lvl w:ilvl="3" w:tplc="646605F2">
      <w:start w:val="1"/>
      <w:numFmt w:val="bullet"/>
      <w:lvlText w:val=""/>
      <w:lvlJc w:val="left"/>
      <w:pPr>
        <w:ind w:left="3240" w:hanging="360"/>
      </w:pPr>
      <w:rPr>
        <w:rFonts w:ascii="Symbol" w:hAnsi="Symbol" w:hint="default"/>
      </w:rPr>
    </w:lvl>
    <w:lvl w:ilvl="4" w:tplc="94088ECC">
      <w:start w:val="1"/>
      <w:numFmt w:val="bullet"/>
      <w:lvlText w:val="o"/>
      <w:lvlJc w:val="left"/>
      <w:pPr>
        <w:ind w:left="3960" w:hanging="360"/>
      </w:pPr>
      <w:rPr>
        <w:rFonts w:ascii="Courier New" w:hAnsi="Courier New" w:hint="default"/>
      </w:rPr>
    </w:lvl>
    <w:lvl w:ilvl="5" w:tplc="A22A8C82">
      <w:start w:val="1"/>
      <w:numFmt w:val="bullet"/>
      <w:lvlText w:val=""/>
      <w:lvlJc w:val="left"/>
      <w:pPr>
        <w:ind w:left="4680" w:hanging="360"/>
      </w:pPr>
      <w:rPr>
        <w:rFonts w:ascii="Wingdings" w:hAnsi="Wingdings" w:hint="default"/>
      </w:rPr>
    </w:lvl>
    <w:lvl w:ilvl="6" w:tplc="CAB07464">
      <w:start w:val="1"/>
      <w:numFmt w:val="bullet"/>
      <w:lvlText w:val=""/>
      <w:lvlJc w:val="left"/>
      <w:pPr>
        <w:ind w:left="5400" w:hanging="360"/>
      </w:pPr>
      <w:rPr>
        <w:rFonts w:ascii="Symbol" w:hAnsi="Symbol" w:hint="default"/>
      </w:rPr>
    </w:lvl>
    <w:lvl w:ilvl="7" w:tplc="8452D6B2">
      <w:start w:val="1"/>
      <w:numFmt w:val="bullet"/>
      <w:lvlText w:val="o"/>
      <w:lvlJc w:val="left"/>
      <w:pPr>
        <w:ind w:left="6120" w:hanging="360"/>
      </w:pPr>
      <w:rPr>
        <w:rFonts w:ascii="Courier New" w:hAnsi="Courier New" w:hint="default"/>
      </w:rPr>
    </w:lvl>
    <w:lvl w:ilvl="8" w:tplc="0BAE7BB4">
      <w:start w:val="1"/>
      <w:numFmt w:val="bullet"/>
      <w:lvlText w:val=""/>
      <w:lvlJc w:val="left"/>
      <w:pPr>
        <w:ind w:left="6840" w:hanging="360"/>
      </w:pPr>
      <w:rPr>
        <w:rFonts w:ascii="Wingdings" w:hAnsi="Wingdings" w:hint="default"/>
      </w:rPr>
    </w:lvl>
  </w:abstractNum>
  <w:abstractNum w:abstractNumId="1" w15:restartNumberingAfterBreak="0">
    <w:nsid w:val="368A7423"/>
    <w:multiLevelType w:val="hybridMultilevel"/>
    <w:tmpl w:val="5366F872"/>
    <w:lvl w:ilvl="0" w:tplc="BE08EEF6">
      <w:start w:val="1"/>
      <w:numFmt w:val="decimal"/>
      <w:lvlText w:val="%1."/>
      <w:lvlJc w:val="left"/>
      <w:pPr>
        <w:ind w:left="720" w:hanging="360"/>
      </w:pPr>
    </w:lvl>
    <w:lvl w:ilvl="1" w:tplc="D4845464">
      <w:start w:val="1"/>
      <w:numFmt w:val="lowerLetter"/>
      <w:lvlText w:val="%2."/>
      <w:lvlJc w:val="left"/>
      <w:pPr>
        <w:ind w:left="1440" w:hanging="360"/>
      </w:pPr>
    </w:lvl>
    <w:lvl w:ilvl="2" w:tplc="013E10A8">
      <w:start w:val="1"/>
      <w:numFmt w:val="lowerRoman"/>
      <w:lvlText w:val="%3."/>
      <w:lvlJc w:val="right"/>
      <w:pPr>
        <w:ind w:left="2160" w:hanging="180"/>
      </w:pPr>
    </w:lvl>
    <w:lvl w:ilvl="3" w:tplc="7CAE7C34">
      <w:start w:val="1"/>
      <w:numFmt w:val="decimal"/>
      <w:lvlText w:val="%4."/>
      <w:lvlJc w:val="left"/>
      <w:pPr>
        <w:ind w:left="2880" w:hanging="360"/>
      </w:pPr>
    </w:lvl>
    <w:lvl w:ilvl="4" w:tplc="3DF06ED0">
      <w:start w:val="1"/>
      <w:numFmt w:val="lowerLetter"/>
      <w:lvlText w:val="%5."/>
      <w:lvlJc w:val="left"/>
      <w:pPr>
        <w:ind w:left="3600" w:hanging="360"/>
      </w:pPr>
    </w:lvl>
    <w:lvl w:ilvl="5" w:tplc="BD58694C">
      <w:start w:val="1"/>
      <w:numFmt w:val="lowerRoman"/>
      <w:lvlText w:val="%6."/>
      <w:lvlJc w:val="right"/>
      <w:pPr>
        <w:ind w:left="4320" w:hanging="180"/>
      </w:pPr>
    </w:lvl>
    <w:lvl w:ilvl="6" w:tplc="15549F0C">
      <w:start w:val="1"/>
      <w:numFmt w:val="decimal"/>
      <w:lvlText w:val="%7."/>
      <w:lvlJc w:val="left"/>
      <w:pPr>
        <w:ind w:left="5040" w:hanging="360"/>
      </w:pPr>
    </w:lvl>
    <w:lvl w:ilvl="7" w:tplc="39BEA738">
      <w:start w:val="1"/>
      <w:numFmt w:val="lowerLetter"/>
      <w:lvlText w:val="%8."/>
      <w:lvlJc w:val="left"/>
      <w:pPr>
        <w:ind w:left="5760" w:hanging="360"/>
      </w:pPr>
    </w:lvl>
    <w:lvl w:ilvl="8" w:tplc="A66C2CD0">
      <w:start w:val="1"/>
      <w:numFmt w:val="lowerRoman"/>
      <w:lvlText w:val="%9."/>
      <w:lvlJc w:val="right"/>
      <w:pPr>
        <w:ind w:left="6480" w:hanging="180"/>
      </w:pPr>
    </w:lvl>
  </w:abstractNum>
  <w:abstractNum w:abstractNumId="2" w15:restartNumberingAfterBreak="0">
    <w:nsid w:val="3B47FC8E"/>
    <w:multiLevelType w:val="hybridMultilevel"/>
    <w:tmpl w:val="1B98F69E"/>
    <w:lvl w:ilvl="0" w:tplc="CAAA840E">
      <w:start w:val="1"/>
      <w:numFmt w:val="decimal"/>
      <w:lvlText w:val="%1."/>
      <w:lvlJc w:val="left"/>
      <w:pPr>
        <w:ind w:left="720" w:hanging="360"/>
      </w:pPr>
    </w:lvl>
    <w:lvl w:ilvl="1" w:tplc="85E8AA62">
      <w:start w:val="1"/>
      <w:numFmt w:val="lowerLetter"/>
      <w:lvlText w:val="%2."/>
      <w:lvlJc w:val="left"/>
      <w:pPr>
        <w:ind w:left="1440" w:hanging="360"/>
      </w:pPr>
    </w:lvl>
    <w:lvl w:ilvl="2" w:tplc="FC248F88">
      <w:start w:val="1"/>
      <w:numFmt w:val="lowerRoman"/>
      <w:lvlText w:val="%3."/>
      <w:lvlJc w:val="right"/>
      <w:pPr>
        <w:ind w:left="2160" w:hanging="180"/>
      </w:pPr>
    </w:lvl>
    <w:lvl w:ilvl="3" w:tplc="DD964FE2">
      <w:start w:val="1"/>
      <w:numFmt w:val="decimal"/>
      <w:lvlText w:val="%4."/>
      <w:lvlJc w:val="left"/>
      <w:pPr>
        <w:ind w:left="2880" w:hanging="360"/>
      </w:pPr>
    </w:lvl>
    <w:lvl w:ilvl="4" w:tplc="E8C21FAC">
      <w:start w:val="1"/>
      <w:numFmt w:val="lowerLetter"/>
      <w:lvlText w:val="%5."/>
      <w:lvlJc w:val="left"/>
      <w:pPr>
        <w:ind w:left="3600" w:hanging="360"/>
      </w:pPr>
    </w:lvl>
    <w:lvl w:ilvl="5" w:tplc="78A85162">
      <w:start w:val="1"/>
      <w:numFmt w:val="lowerRoman"/>
      <w:lvlText w:val="%6."/>
      <w:lvlJc w:val="right"/>
      <w:pPr>
        <w:ind w:left="4320" w:hanging="180"/>
      </w:pPr>
    </w:lvl>
    <w:lvl w:ilvl="6" w:tplc="B4A6CAA8">
      <w:start w:val="1"/>
      <w:numFmt w:val="decimal"/>
      <w:lvlText w:val="%7."/>
      <w:lvlJc w:val="left"/>
      <w:pPr>
        <w:ind w:left="5040" w:hanging="360"/>
      </w:pPr>
    </w:lvl>
    <w:lvl w:ilvl="7" w:tplc="4BB6E460">
      <w:start w:val="1"/>
      <w:numFmt w:val="lowerLetter"/>
      <w:lvlText w:val="%8."/>
      <w:lvlJc w:val="left"/>
      <w:pPr>
        <w:ind w:left="5760" w:hanging="360"/>
      </w:pPr>
    </w:lvl>
    <w:lvl w:ilvl="8" w:tplc="C86431BC">
      <w:start w:val="1"/>
      <w:numFmt w:val="lowerRoman"/>
      <w:lvlText w:val="%9."/>
      <w:lvlJc w:val="right"/>
      <w:pPr>
        <w:ind w:left="6480" w:hanging="180"/>
      </w:pPr>
    </w:lvl>
  </w:abstractNum>
  <w:abstractNum w:abstractNumId="3" w15:restartNumberingAfterBreak="0">
    <w:nsid w:val="40F42777"/>
    <w:multiLevelType w:val="hybridMultilevel"/>
    <w:tmpl w:val="EE2CC354"/>
    <w:lvl w:ilvl="0" w:tplc="FF12ED12">
      <w:start w:val="1"/>
      <w:numFmt w:val="bullet"/>
      <w:lvlText w:val="·"/>
      <w:lvlJc w:val="left"/>
      <w:pPr>
        <w:ind w:left="1080" w:hanging="360"/>
      </w:pPr>
      <w:rPr>
        <w:rFonts w:ascii="Symbol" w:hAnsi="Symbol" w:hint="default"/>
      </w:rPr>
    </w:lvl>
    <w:lvl w:ilvl="1" w:tplc="6E902BDC">
      <w:start w:val="1"/>
      <w:numFmt w:val="bullet"/>
      <w:lvlText w:val="o"/>
      <w:lvlJc w:val="left"/>
      <w:pPr>
        <w:ind w:left="1440" w:hanging="360"/>
      </w:pPr>
      <w:rPr>
        <w:rFonts w:ascii="Courier New" w:hAnsi="Courier New" w:hint="default"/>
      </w:rPr>
    </w:lvl>
    <w:lvl w:ilvl="2" w:tplc="E95AE6A2">
      <w:start w:val="1"/>
      <w:numFmt w:val="bullet"/>
      <w:lvlText w:val=""/>
      <w:lvlJc w:val="left"/>
      <w:pPr>
        <w:ind w:left="2160" w:hanging="360"/>
      </w:pPr>
      <w:rPr>
        <w:rFonts w:ascii="Wingdings" w:hAnsi="Wingdings" w:hint="default"/>
      </w:rPr>
    </w:lvl>
    <w:lvl w:ilvl="3" w:tplc="5CB4CD7C">
      <w:start w:val="1"/>
      <w:numFmt w:val="bullet"/>
      <w:lvlText w:val=""/>
      <w:lvlJc w:val="left"/>
      <w:pPr>
        <w:ind w:left="2880" w:hanging="360"/>
      </w:pPr>
      <w:rPr>
        <w:rFonts w:ascii="Symbol" w:hAnsi="Symbol" w:hint="default"/>
      </w:rPr>
    </w:lvl>
    <w:lvl w:ilvl="4" w:tplc="B15A3A44">
      <w:start w:val="1"/>
      <w:numFmt w:val="bullet"/>
      <w:lvlText w:val="o"/>
      <w:lvlJc w:val="left"/>
      <w:pPr>
        <w:ind w:left="3600" w:hanging="360"/>
      </w:pPr>
      <w:rPr>
        <w:rFonts w:ascii="Courier New" w:hAnsi="Courier New" w:hint="default"/>
      </w:rPr>
    </w:lvl>
    <w:lvl w:ilvl="5" w:tplc="D5A0EB6C">
      <w:start w:val="1"/>
      <w:numFmt w:val="bullet"/>
      <w:lvlText w:val=""/>
      <w:lvlJc w:val="left"/>
      <w:pPr>
        <w:ind w:left="4320" w:hanging="360"/>
      </w:pPr>
      <w:rPr>
        <w:rFonts w:ascii="Wingdings" w:hAnsi="Wingdings" w:hint="default"/>
      </w:rPr>
    </w:lvl>
    <w:lvl w:ilvl="6" w:tplc="43906552">
      <w:start w:val="1"/>
      <w:numFmt w:val="bullet"/>
      <w:lvlText w:val=""/>
      <w:lvlJc w:val="left"/>
      <w:pPr>
        <w:ind w:left="5040" w:hanging="360"/>
      </w:pPr>
      <w:rPr>
        <w:rFonts w:ascii="Symbol" w:hAnsi="Symbol" w:hint="default"/>
      </w:rPr>
    </w:lvl>
    <w:lvl w:ilvl="7" w:tplc="5762D896">
      <w:start w:val="1"/>
      <w:numFmt w:val="bullet"/>
      <w:lvlText w:val="o"/>
      <w:lvlJc w:val="left"/>
      <w:pPr>
        <w:ind w:left="5760" w:hanging="360"/>
      </w:pPr>
      <w:rPr>
        <w:rFonts w:ascii="Courier New" w:hAnsi="Courier New" w:hint="default"/>
      </w:rPr>
    </w:lvl>
    <w:lvl w:ilvl="8" w:tplc="77C2B26C">
      <w:start w:val="1"/>
      <w:numFmt w:val="bullet"/>
      <w:lvlText w:val=""/>
      <w:lvlJc w:val="left"/>
      <w:pPr>
        <w:ind w:left="6480" w:hanging="360"/>
      </w:pPr>
      <w:rPr>
        <w:rFonts w:ascii="Wingdings" w:hAnsi="Wingdings" w:hint="default"/>
      </w:rPr>
    </w:lvl>
  </w:abstractNum>
  <w:num w:numId="1" w16cid:durableId="840318553">
    <w:abstractNumId w:val="0"/>
  </w:num>
  <w:num w:numId="2" w16cid:durableId="2104370718">
    <w:abstractNumId w:val="1"/>
  </w:num>
  <w:num w:numId="3" w16cid:durableId="2050687906">
    <w:abstractNumId w:val="3"/>
  </w:num>
  <w:num w:numId="4" w16cid:durableId="2243413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281"/>
    <w:rsid w:val="001F7281"/>
    <w:rsid w:val="003538F0"/>
    <w:rsid w:val="004D7F05"/>
    <w:rsid w:val="00A904E3"/>
    <w:rsid w:val="00C960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0E15C"/>
  <w15:chartTrackingRefBased/>
  <w15:docId w15:val="{04B239F1-6DF4-42A3-BA9E-E198C13C1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281"/>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281"/>
    <w:pPr>
      <w:ind w:left="153"/>
      <w:jc w:val="both"/>
    </w:pPr>
  </w:style>
  <w:style w:type="paragraph" w:styleId="Header">
    <w:name w:val="header"/>
    <w:basedOn w:val="Normal"/>
    <w:link w:val="HeaderChar"/>
    <w:uiPriority w:val="99"/>
    <w:unhideWhenUsed/>
    <w:qFormat/>
    <w:rsid w:val="004D7F05"/>
    <w:pPr>
      <w:tabs>
        <w:tab w:val="center" w:pos="4680"/>
        <w:tab w:val="right" w:pos="9360"/>
      </w:tabs>
    </w:pPr>
  </w:style>
  <w:style w:type="character" w:customStyle="1" w:styleId="HeaderChar">
    <w:name w:val="Header Char"/>
    <w:basedOn w:val="DefaultParagraphFont"/>
    <w:link w:val="Header"/>
    <w:uiPriority w:val="99"/>
    <w:rsid w:val="004D7F05"/>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4D7F05"/>
    <w:pPr>
      <w:tabs>
        <w:tab w:val="center" w:pos="4680"/>
        <w:tab w:val="right" w:pos="9360"/>
      </w:tabs>
    </w:pPr>
  </w:style>
  <w:style w:type="character" w:customStyle="1" w:styleId="FooterChar">
    <w:name w:val="Footer Char"/>
    <w:basedOn w:val="DefaultParagraphFont"/>
    <w:link w:val="Footer"/>
    <w:uiPriority w:val="99"/>
    <w:rsid w:val="004D7F05"/>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478</Words>
  <Characters>2728</Characters>
  <Application>Microsoft Office Word</Application>
  <DocSecurity>0</DocSecurity>
  <Lines>22</Lines>
  <Paragraphs>6</Paragraphs>
  <ScaleCrop>false</ScaleCrop>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Kaylie Gordon</dc:creator>
  <cp:keywords/>
  <dc:description/>
  <cp:lastModifiedBy>Kaylie Gordon</cp:lastModifiedBy>
  <cp:revision>3</cp:revision>
  <dcterms:created xsi:type="dcterms:W3CDTF">2024-02-06T21:18:00Z</dcterms:created>
  <dcterms:modified xsi:type="dcterms:W3CDTF">2024-02-06T21:19:00Z</dcterms:modified>
</cp:coreProperties>
</file>