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CUPE 3903 Salary Counterproposal </w:t>
      </w:r>
    </w:p>
    <w:p w:rsidR="00000000" w:rsidDel="00000000" w:rsidP="00000000" w:rsidRDefault="00000000" w:rsidRPr="00000000" w14:paraId="00000002">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2023-12-11</w:t>
      </w:r>
    </w:p>
    <w:p w:rsidR="00000000" w:rsidDel="00000000" w:rsidP="00000000" w:rsidRDefault="00000000" w:rsidRPr="00000000" w14:paraId="00000003">
      <w:pPr>
        <w:widowControl w:val="0"/>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widowControl w:val="0"/>
        <w:spacing w:after="0" w:before="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New language, with respect to the 2020-2023 CA </w:t>
      </w:r>
    </w:p>
    <w:p w:rsidR="00000000" w:rsidDel="00000000" w:rsidP="00000000" w:rsidRDefault="00000000" w:rsidRPr="00000000" w14:paraId="00000005">
      <w:pPr>
        <w:widowControl w:val="0"/>
        <w:spacing w:after="0" w:before="0" w:line="360" w:lineRule="auto"/>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Language to be replaced by updated language/data {!}</w:t>
      </w:r>
      <w:r w:rsidDel="00000000" w:rsidR="00000000" w:rsidRPr="00000000">
        <w:rPr>
          <w:rtl w:val="0"/>
        </w:rPr>
      </w:r>
    </w:p>
    <w:p w:rsidR="00000000" w:rsidDel="00000000" w:rsidP="00000000" w:rsidRDefault="00000000" w:rsidRPr="00000000" w14:paraId="00000006">
      <w:pPr>
        <w:widowControl w:val="0"/>
        <w:spacing w:after="0" w:before="0" w:line="360" w:lineRule="auto"/>
        <w:rPr>
          <w:rFonts w:ascii="Arial" w:cs="Arial" w:eastAsia="Arial" w:hAnsi="Arial"/>
          <w:color w:val="ff0000"/>
          <w:sz w:val="20"/>
          <w:szCs w:val="20"/>
        </w:rPr>
      </w:pPr>
      <w:r w:rsidDel="00000000" w:rsidR="00000000" w:rsidRPr="00000000">
        <w:rPr>
          <w:rFonts w:ascii="Arial" w:cs="Arial" w:eastAsia="Arial" w:hAnsi="Arial"/>
          <w:i w:val="1"/>
          <w:color w:val="ff0000"/>
          <w:sz w:val="20"/>
          <w:szCs w:val="20"/>
          <w:rtl w:val="0"/>
        </w:rPr>
        <w:t xml:space="preserve">New language, with respect to the previous pass of the party {!}</w:t>
      </w:r>
      <w:r w:rsidDel="00000000" w:rsidR="00000000" w:rsidRPr="00000000">
        <w:rPr>
          <w:rtl w:val="0"/>
        </w:rPr>
      </w:r>
    </w:p>
    <w:p w:rsidR="00000000" w:rsidDel="00000000" w:rsidP="00000000" w:rsidRDefault="00000000" w:rsidRPr="00000000" w14:paraId="00000007">
      <w:pPr>
        <w:widowControl w:val="0"/>
        <w:spacing w:after="0" w:before="0" w:line="36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Language that has been removed, with respect to the 2020–2023 CA</w:t>
      </w:r>
    </w:p>
    <w:p w:rsidR="00000000" w:rsidDel="00000000" w:rsidP="00000000" w:rsidRDefault="00000000" w:rsidRPr="00000000" w14:paraId="00000008">
      <w:pPr>
        <w:widowControl w:val="0"/>
        <w:spacing w:after="0" w:before="0" w:line="360" w:lineRule="auto"/>
        <w:rPr>
          <w:rFonts w:ascii="Arial" w:cs="Arial" w:eastAsia="Arial" w:hAnsi="Arial"/>
          <w:i w:val="1"/>
          <w:color w:val="ff0000"/>
          <w:sz w:val="20"/>
          <w:szCs w:val="20"/>
        </w:rPr>
      </w:pPr>
      <w:r w:rsidDel="00000000" w:rsidR="00000000" w:rsidRPr="00000000">
        <w:rPr>
          <w:rFonts w:ascii="Arial" w:cs="Arial" w:eastAsia="Arial" w:hAnsi="Arial"/>
          <w:i w:val="1"/>
          <w:strike w:val="1"/>
          <w:color w:val="ff0000"/>
          <w:sz w:val="20"/>
          <w:szCs w:val="20"/>
          <w:rtl w:val="0"/>
        </w:rPr>
        <w:t xml:space="preserve">Language that has been removed, with respect to the previous pass of the party </w:t>
      </w:r>
      <w:r w:rsidDel="00000000" w:rsidR="00000000" w:rsidRPr="00000000">
        <w:rPr>
          <w:rFonts w:ascii="Arial" w:cs="Arial" w:eastAsia="Arial" w:hAnsi="Arial"/>
          <w:i w:val="1"/>
          <w:color w:val="ff0000"/>
          <w:sz w:val="20"/>
          <w:szCs w:val="20"/>
          <w:rtl w:val="0"/>
        </w:rPr>
        <w:t xml:space="preserve">{!}</w:t>
      </w:r>
    </w:p>
    <w:p w:rsidR="00000000" w:rsidDel="00000000" w:rsidP="00000000" w:rsidRDefault="00000000" w:rsidRPr="00000000" w14:paraId="00000009">
      <w:pPr>
        <w:widowControl w:val="0"/>
        <w:spacing w:after="0" w:before="0" w:line="36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0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NOTE: The {!} symbol follows the Universal Design for Learning principle of adding a visual/text marker in addition to colour changes for accessibility. It is not part of the text of the proposed changes.</w:t>
      </w:r>
    </w:p>
    <w:p w:rsidR="00000000" w:rsidDel="00000000" w:rsidP="00000000" w:rsidRDefault="00000000" w:rsidRPr="00000000" w14:paraId="0000000B">
      <w:pPr>
        <w:widowControl w:val="0"/>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widowControl w:val="0"/>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Arial" w:cs="Arial" w:eastAsia="Arial" w:hAnsi="Arial"/>
          <w:sz w:val="20"/>
          <w:szCs w:val="20"/>
        </w:rPr>
      </w:pPr>
      <w:r w:rsidDel="00000000" w:rsidR="00000000" w:rsidRPr="00000000">
        <w:rPr>
          <w:rtl w:val="0"/>
        </w:rPr>
      </w:r>
    </w:p>
    <w:tbl>
      <w:tblPr>
        <w:tblStyle w:val="Table1"/>
        <w:tblW w:w="138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930"/>
        <w:gridCol w:w="4665"/>
        <w:gridCol w:w="2130"/>
        <w:gridCol w:w="5565"/>
        <w:tblGridChange w:id="0">
          <w:tblGrid>
            <w:gridCol w:w="600"/>
            <w:gridCol w:w="930"/>
            <w:gridCol w:w="4665"/>
            <w:gridCol w:w="2130"/>
            <w:gridCol w:w="5565"/>
          </w:tblGrid>
        </w:tblGridChange>
      </w:tblGrid>
      <w:tr>
        <w:trPr>
          <w:cantSplit w:val="0"/>
          <w:tblHeader w:val="0"/>
        </w:trPr>
        <w:tc>
          <w:tcPr>
            <w:gridSpan w:val="5"/>
            <w:shd w:fill="efefef" w:val="clear"/>
          </w:tcPr>
          <w:p w:rsidR="00000000" w:rsidDel="00000000" w:rsidP="00000000" w:rsidRDefault="00000000" w:rsidRPr="00000000" w14:paraId="0000000E">
            <w:pPr>
              <w:pStyle w:val="Heading1"/>
              <w:tabs>
                <w:tab w:val="left" w:leader="none" w:pos="2900"/>
                <w:tab w:val="left" w:leader="none" w:pos="2901"/>
                <w:tab w:val="left" w:leader="none" w:pos="2900"/>
                <w:tab w:val="left" w:leader="none" w:pos="2901"/>
                <w:tab w:val="left" w:leader="none" w:pos="2900"/>
                <w:tab w:val="left" w:leader="none" w:pos="2901"/>
                <w:tab w:val="left" w:leader="none" w:pos="2900"/>
                <w:tab w:val="left" w:leader="none" w:pos="2901"/>
              </w:tabs>
              <w:jc w:val="center"/>
              <w:rPr>
                <w:rFonts w:ascii="Arial" w:cs="Arial" w:eastAsia="Arial" w:hAnsi="Arial"/>
              </w:rPr>
            </w:pPr>
            <w:bookmarkStart w:colFirst="0" w:colLast="0" w:name="_heading=h.c4b1glqvel" w:id="0"/>
            <w:bookmarkEnd w:id="0"/>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Proposal #</w:t>
            </w:r>
          </w:p>
        </w:tc>
        <w:tc>
          <w:tcPr/>
          <w:p w:rsidR="00000000" w:rsidDel="00000000" w:rsidP="00000000" w:rsidRDefault="00000000" w:rsidRPr="00000000" w14:paraId="00000014">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UNIT Article # Title</w:t>
            </w:r>
          </w:p>
        </w:tc>
        <w:tc>
          <w:tcPr/>
          <w:p w:rsidR="00000000" w:rsidDel="00000000" w:rsidP="00000000" w:rsidRDefault="00000000" w:rsidRPr="00000000" w14:paraId="00000015">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 Language 2020–23</w:t>
            </w:r>
          </w:p>
        </w:tc>
        <w:tc>
          <w:tcPr/>
          <w:p w:rsidR="00000000" w:rsidDel="00000000" w:rsidP="00000000" w:rsidRDefault="00000000" w:rsidRPr="00000000" w14:paraId="00000016">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of Changes and/or   Rationale</w:t>
            </w:r>
          </w:p>
        </w:tc>
        <w:tc>
          <w:tcPr/>
          <w:p w:rsidR="00000000" w:rsidDel="00000000" w:rsidP="00000000" w:rsidRDefault="00000000" w:rsidRPr="00000000" w14:paraId="00000017">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Latest Proposal</w:t>
            </w:r>
          </w:p>
          <w:p w:rsidR="00000000" w:rsidDel="00000000" w:rsidP="00000000" w:rsidRDefault="00000000" w:rsidRPr="00000000" w14:paraId="00000018">
            <w:pPr>
              <w:widowControl w:val="0"/>
              <w:spacing w:after="0" w:line="240" w:lineRule="auto"/>
              <w:jc w:val="left"/>
              <w:rPr>
                <w:rFonts w:ascii="Arial" w:cs="Arial" w:eastAsia="Arial" w:hAnsi="Arial"/>
                <w:b w:val="1"/>
                <w:i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9">
            <w:pPr>
              <w:spacing w:after="0" w:line="240" w:lineRule="auto"/>
              <w:ind w:left="0" w:righ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UNITS</w:t>
            </w:r>
          </w:p>
          <w:p w:rsidR="00000000" w:rsidDel="00000000" w:rsidP="00000000" w:rsidRDefault="00000000" w:rsidRPr="00000000" w14:paraId="0000001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U1 10.04.1</w:t>
            </w:r>
          </w:p>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U2 10.04.1</w:t>
            </w:r>
          </w:p>
          <w:p w:rsidR="00000000" w:rsidDel="00000000" w:rsidP="00000000" w:rsidRDefault="00000000" w:rsidRPr="00000000" w14:paraId="0000001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U3 10.02</w:t>
            </w:r>
          </w:p>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SALARY RATES</w:t>
            </w:r>
          </w:p>
          <w:p w:rsidR="00000000" w:rsidDel="00000000" w:rsidP="00000000" w:rsidRDefault="00000000" w:rsidRPr="00000000" w14:paraId="0000002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3">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u w:val="single"/>
                <w:rtl w:val="0"/>
              </w:rPr>
              <w:t xml:space="preserve">NEW</w:t>
            </w:r>
            <w:r w:rsidDel="00000000" w:rsidR="00000000" w:rsidRPr="00000000">
              <w:rPr>
                <w:rFonts w:ascii="Arial" w:cs="Arial" w:eastAsia="Arial" w:hAnsi="Arial"/>
                <w:b w:val="1"/>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Increase Wages:</w:t>
            </w:r>
          </w:p>
          <w:p w:rsidR="00000000" w:rsidDel="00000000" w:rsidP="00000000" w:rsidRDefault="00000000" w:rsidRPr="00000000" w14:paraId="0000002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Retroactive wage increases for the 2020-2023 CA; Wage Increases for the 2023-2026 CA; Inflation indexation 2025-onward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i w:val="1"/>
                <w:sz w:val="20"/>
                <w:szCs w:val="20"/>
                <w:rtl w:val="0"/>
              </w:rPr>
              <w:t xml:space="preserve">[December 11, 2023]</w:t>
            </w:r>
            <w:r w:rsidDel="00000000" w:rsidR="00000000" w:rsidRPr="00000000">
              <w:rPr>
                <w:rtl w:val="0"/>
              </w:rPr>
            </w:r>
          </w:p>
          <w:p w:rsidR="00000000" w:rsidDel="00000000" w:rsidP="00000000" w:rsidRDefault="00000000" w:rsidRPr="00000000" w14:paraId="00000027">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all current and former members of the bargaining unit who were members of the bargaining unit during any part of the three-year period from September 1, 2020 to August 31, 2023 shall be entitled, on September 1, 2023, to the following retroactive salary increases over and above the 1% increases stipulated in the 2020-2023 collective agreement:</w:t>
            </w:r>
          </w:p>
          <w:p w:rsidR="00000000" w:rsidDel="00000000" w:rsidP="00000000" w:rsidRDefault="00000000" w:rsidRPr="00000000" w14:paraId="00000029">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2020 and each year thereafter for the life of the 2020–2023 Collective Agreement, salary and authorized replacement rates shall be increased by</w:t>
            </w:r>
            <w:r w:rsidDel="00000000" w:rsidR="00000000" w:rsidRPr="00000000">
              <w:rPr>
                <w:rFonts w:ascii="Arial" w:cs="Arial" w:eastAsia="Arial" w:hAnsi="Arial"/>
                <w:b w:val="1"/>
                <w:i w:val="1"/>
                <w:strike w:val="1"/>
                <w:color w:val="ff0000"/>
                <w:sz w:val="20"/>
                <w:szCs w:val="20"/>
                <w:u w:val="single"/>
                <w:rtl w:val="0"/>
              </w:rPr>
              <w:t xml:space="preserve"> 6% </w:t>
            </w:r>
            <w:r w:rsidDel="00000000" w:rsidR="00000000" w:rsidRPr="00000000">
              <w:rPr>
                <w:rFonts w:ascii="Arial" w:cs="Arial" w:eastAsia="Arial" w:hAnsi="Arial"/>
                <w:b w:val="1"/>
                <w:i w:val="1"/>
                <w:color w:val="ff0000"/>
                <w:sz w:val="20"/>
                <w:szCs w:val="20"/>
                <w:u w:val="single"/>
                <w:rtl w:val="0"/>
              </w:rPr>
              <w:t xml:space="preserve"> 4% {!}</w:t>
            </w:r>
            <w:r w:rsidDel="00000000" w:rsidR="00000000" w:rsidRPr="00000000">
              <w:rPr>
                <w:rFonts w:ascii="Arial" w:cs="Arial" w:eastAsia="Arial" w:hAnsi="Arial"/>
                <w:b w:val="1"/>
                <w:sz w:val="20"/>
                <w:szCs w:val="20"/>
                <w:u w:val="single"/>
                <w:rtl w:val="0"/>
              </w:rPr>
              <w:t xml:space="preserve"> per year. These wages will be paid retroactively to those who held a contract during the 2020–2023 Collective Agreement.</w:t>
            </w:r>
          </w:p>
          <w:p w:rsidR="00000000" w:rsidDel="00000000" w:rsidP="00000000" w:rsidRDefault="00000000" w:rsidRPr="00000000" w14:paraId="0000002B">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For the 2023-2026 Collective Agreement, salary and authorized replacement rates shall be increased by 7% effective September 1, 2023 and 7% effective September 1, 2024.</w:t>
            </w:r>
          </w:p>
          <w:p w:rsidR="00000000" w:rsidDel="00000000" w:rsidP="00000000" w:rsidRDefault="00000000" w:rsidRPr="00000000" w14:paraId="0000002D">
            <w:pPr>
              <w:widowControl w:val="0"/>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Effective September 1, 2025, and every September 1 thereafter, salary and authorized replacement rates for shall be increased by 5% or the CPI for the GTA measured during the 12-month period between July and July, whichever is greater.</w:t>
            </w:r>
          </w:p>
        </w:tc>
      </w:tr>
    </w:tbl>
    <w:p w:rsidR="00000000" w:rsidDel="00000000" w:rsidP="00000000" w:rsidRDefault="00000000" w:rsidRPr="00000000" w14:paraId="0000002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b w:val="1"/>
          <w:sz w:val="20"/>
          <w:szCs w:val="20"/>
        </w:rPr>
      </w:pPr>
      <w:r w:rsidDel="00000000" w:rsidR="00000000" w:rsidRPr="00000000">
        <w:rPr>
          <w:rtl w:val="0"/>
        </w:rPr>
      </w:r>
    </w:p>
    <w:sectPr>
      <w:headerReference r:id="rId7" w:type="default"/>
      <w:pgSz w:h="12240" w:w="15840" w:orient="landscape"/>
      <w:pgMar w:bottom="0" w:top="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tabs>
        <w:tab w:val="left" w:leader="none" w:pos="2900"/>
        <w:tab w:val="left" w:leader="none" w:pos="2901"/>
      </w:tabs>
      <w:spacing w:line="240" w:lineRule="auto"/>
    </w:pPr>
    <w:rPr>
      <w:rFonts w:ascii="Calibri" w:cs="Calibri" w:eastAsia="Calibri" w:hAnsi="Calibri"/>
      <w:sz w:val="20"/>
      <w:szCs w:val="20"/>
    </w:rPr>
  </w:style>
  <w:style w:type="paragraph" w:styleId="Heading2">
    <w:name w:val="heading 2"/>
    <w:basedOn w:val="Normal"/>
    <w:next w:val="Normal"/>
    <w:pPr>
      <w:keepNext w:val="1"/>
      <w:keepLines w:val="1"/>
      <w:spacing w:after="120" w:before="480" w:line="216" w:lineRule="auto"/>
      <w:jc w:val="center"/>
    </w:pPr>
    <w:rPr>
      <w:rFonts w:ascii="Calibri" w:cs="Calibri" w:eastAsia="Calibri" w:hAnsi="Calibri"/>
      <w:b w:val="1"/>
      <w:color w:val="e31837"/>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BHN7x6fjpmQB6965TNlpvrQXQ==">CgMxLjAyDGguYzRiMWdscXZlbDgAciExc0s2am9wNnhFcHBMNm5lMUJtRmwxQ3JwSGR6RkV0bFY=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