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CUPE 3903 Proposals presented in Nov. 7 bargaining session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(Note: the numbers correspond to the proposals’ place in the overall </w:t>
      </w:r>
      <w:hyperlink r:id="rId6">
        <w:r w:rsidDel="00000000" w:rsidR="00000000" w:rsidRPr="00000000">
          <w:rPr>
            <w:rFonts w:ascii="Avenir" w:cs="Avenir" w:eastAsia="Avenir" w:hAnsi="Avenir"/>
            <w:b w:val="1"/>
            <w:color w:val="1155cc"/>
            <w:sz w:val="24"/>
            <w:szCs w:val="24"/>
            <w:u w:val="single"/>
            <w:rtl w:val="0"/>
          </w:rPr>
          <w:t xml:space="preserve">Bargaining Proposals Chart dated Nov. 7</w:t>
        </w:r>
      </w:hyperlink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.)</w:t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Unit 1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#53–54 Proposals on Fellowship &amp; Offsets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Sections of U1 CA: LOA: Additional Funding for Priority Pool Member; LOI 11: Offset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#63 Proposals on Workload &amp; Minimum Turnaround Time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Section of U1 CA: 10.02.4; 10.02.7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#64 Proposal on Priority Pool &amp; Accepting Awards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Section of U1 CA: 12.03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#65 Proposal on Academic Freedom &amp; Mode of Delivery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Section of U1 CA: 14.01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#66 Proposal on Intellectual Property &amp; "Other Creative Output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Section of U1 CA: 15.23</w:t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Units 1 and 2 Proposals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#60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U1 10.04.4/ U2 10.04.2 Clarifying Tutor 3 workload, hours, and remuneration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#59 U1 15.26/ U2 15.28 Proposal on continuation of email and library services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#62 U1 16.05/ U2 16.05 Proposal on lowering thresholds for marker/grader entitlements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#61 U1 16.05.3 (ii)/ U2 12.16.5, U1 16.05.3 (iii)/ U2 12.16.6 Proposal on lowering class size caps for Foundations courses: ZN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All-Units Proposals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#22–29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Proposals on benefits 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Coverage for medical devices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Coverage for hearing care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Coverage for tests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U1 10.14.1/ U2 10.11.1/ U3 10.10 (1) Proposal on automatic enrollment in the dental plan JG (22)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U1 10.16.1/ U2 10.13.1/U3 10.10 (2) Proposal on automatic enrollment in the drug and paramedical services plan JG (23)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U1 10.17.1/ U2 10.14.1/ U3 10.10 (3) Proposal on automatic enrollment in the vision plan JG (24)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U1 5.04/ U2 5.04/ U3 5.05 Proposal on a new joint workplace accommodations committee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#42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U1 15/ U2 15/ U3 27 Proposals on accommodations and a new fund for members experiencing racialized discrimination, harassment, and violence - SP</w:t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Unit 2 Proposals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#67 10.01, 10.01.1, 10.01.2, 10.01.3, 10.04.1, 12.24, Appendix ?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Proposal on overwork: JT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#68 10.04.7 Proposal on cancellation payment for Music Tutors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#69 11.01.3 Clarification of Nursing qualifications language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#83 LOA on Nursing Clinical Course Director postings proof of practice (POP)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#70 making the appointments cap a standalone article (affects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12.04.1 (iii), 12.04.1 (iv)(a), 12.04.1 (v), 12.05, and LOU Priority for Racialized and Indigenous Candidates Proposals on appointments relating to equity)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#61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12.16 Proposal on class-size triggers and limits for Foundations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#71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12.19 Proposal on work history and querying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#72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12.22 Proposal to extend incumbency on member-designed courses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#73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15.10 Proposal on credit for participation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#74 1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5.13 Proposal on tuition waiver for long-service, low-intensity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#75 15.15 Proposal on timelines for research leave letters &amp; decisions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#76 15.16 Proposal on stagnation of research fund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#77 15.17 Proposal on timelines for conference travel fund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#78 NEW Letter of Agreement (LOA) on Professional Expense Reimbursement (PER)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#79 15.22 Proposal on long-service, low intensity tuition waiver for dependent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#80 15.27 Proposal on switching post-retirement benefits to the regular ASO plan, reducing notice to retire, 15.27 Proposal on continuation of email for retirees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#81 24.02 Proposal on timelines for Long-Service Teaching Appointments (LSTA) notifications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#82 Proposal on adding marker/grader entitlements to Offer of Appointment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5IfOiTx555XF3Ih-oHXnLSH2hDUlJHS3/edit?usp=sharing&amp;ouid=11602127464033869469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