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CUPE 3903 Toronto and York Region Labour Council Delegates' Report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2015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 Delegates: Yasin Kaya, Brian Mossop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Report: YK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Around 65 delegates attended the August 6 meeting of the Labour Council.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meeting started with roll call of officers, harassment statement, approval of the minutes from previous meeting, and credentials report.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United Steelworkers (USW) ratified a new contract with Crown Metal Packaging and the two-year strike ended. A representative presented a report. Although the strike has ended, bitterness remained. Struggle must continue. More information is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 as a Second Language (ESL) teachers, members of Unifor Local 40, have ratified a collective agreement with Kaplan International after nearly four weeks on strike.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MP Dan Harris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talked about upcoming federal elections.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Janaya Khan and another sister provided information about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Black Lives Matter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statement titled “Voting and Civic Democracy” was read and approved. Find the statement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“Submission to Changing Workplace Review” was discussed. Read it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1417.3228346456694" w:left="850.3937007874016" w:right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312" w:lineRule="auto"/>
        <w:ind w:left="-3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</w:pPr>
    <w:rPr>
      <w:b w:val="1"/>
      <w:sz w:val="30"/>
      <w:szCs w:val="30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  <w:ind w:left="705" w:right="1140" w:firstLine="0"/>
      <w:jc w:val="both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ind w:firstLine="0"/>
      <w:contextualSpacing w:val="1"/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drive.google.com/open?id=0BwvzAbhm4VG7MjFyYkVCSGdmT2c" TargetMode="External"/><Relationship Id="rId10" Type="http://schemas.openxmlformats.org/officeDocument/2006/relationships/hyperlink" Target="https://drive.google.com/open?id=0BwvzAbhm4VG7ckZuaUl2MXZITkU" TargetMode="External"/><Relationship Id="rId9" Type="http://schemas.openxmlformats.org/officeDocument/2006/relationships/hyperlink" Target="https://www.facebook.com/blacklivesmatterTO" TargetMode="External"/><Relationship Id="rId5" Type="http://schemas.openxmlformats.org/officeDocument/2006/relationships/hyperlink" Target="http://www.usw.ca/news/media-centre/articles/2015/crown-strike-ends" TargetMode="External"/><Relationship Id="rId6" Type="http://schemas.openxmlformats.org/officeDocument/2006/relationships/hyperlink" Target="http://www.thestar.com/news/gta/2015/07/20/bitterness-remains-crown-metal-workers-end-2-year-strike.html" TargetMode="External"/><Relationship Id="rId7" Type="http://schemas.openxmlformats.org/officeDocument/2006/relationships/hyperlink" Target="http://www.newswire.ca/news-releases/unifor-esl-teachers-ratify-agreement-after-strike-517870141.html" TargetMode="External"/><Relationship Id="rId8" Type="http://schemas.openxmlformats.org/officeDocument/2006/relationships/hyperlink" Target="http://danharris.ndp.ca" TargetMode="External"/></Relationships>
</file>