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sz w:val="10"/>
          <w:szCs w:val="10"/>
        </w:rPr>
      </w:pPr>
      <w:r w:rsidDel="00000000" w:rsidR="00000000" w:rsidRPr="00000000">
        <w:rPr/>
        <w:drawing>
          <wp:inline distB="114300" distT="114300" distL="114300" distR="114300">
            <wp:extent cx="5943600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Wednesday, February 21,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RE: BENEFIT CONTINUANCE IN THE EVENT OF A STRIKE/LOCKOUT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Dan Bradshaw,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am writing to you regarding benefits continuation for CUPE Local 3903 members in the event of a strike or lockout.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While the Union remains hopeful that the parties will be able to reach a settlement on February 23, 2024, there is, of course, the possibility of a labour disruption. 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In the event of a disruption, I am requesting that the Employer continue to maintain in force all benefit plan coverages including group life and extended health, long-term disability, along with maternity leave payments, for members for the duration of the disruption.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This letter confirms that benefit premium costs (employer and employee portions) for bargaining unit members will be paid for by CUPE National. Please forward invoices to my attention; to Vanessa Lehan, CUPE 3903 Recording Secretary (recsec.cupe3903@gmail.com); and to the Local at cupe3903office@gmail.com.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Mackenzie Edwards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Acting Chairperson, CUPE 3903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1"/>
          <w:szCs w:val="21"/>
          <w:rtl w:val="0"/>
        </w:rPr>
        <w:t xml:space="preserve">cupe3903chairperson@gmail.com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