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 27, 2023, Employer Without Prejudice or Precedent Framework for Settlement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MATTER OF NEGOTIATIONS FOR A RENEWAL COLLECTIVE AGREEMENT FOR UNIT 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E T W E E 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YORK UNIVERSITY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“Employer”)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CANADIAN UNION OF PUBLIC EMPLOYEES LOCAL 3903</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MEMORANDUM OF SETTLEMENT FOR A RENEWAL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COLLECTIVE AGREEMENT – UNIT 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Memorandum of Settlement is tabled without prejudice to the employer’s tabling of amended or new proposals in the course of collective bargaining from October 27 to November 30, 2023. </w:t>
      </w:r>
    </w:p>
    <w:p w:rsidR="00000000" w:rsidDel="00000000" w:rsidP="00000000" w:rsidRDefault="00000000" w:rsidRPr="00000000" w14:paraId="0000001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renewal collective agreement shall be in the same form as the predecessor 2020-23 Collective Agreement other than as modified by Schedule “A”, “B” and “C” to this Memorandum of Settlement. </w:t>
      </w:r>
    </w:p>
    <w:p w:rsidR="00000000" w:rsidDel="00000000" w:rsidP="00000000" w:rsidRDefault="00000000" w:rsidRPr="00000000" w14:paraId="0000001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 proposals not included in this Memorandum of Settlement are withdrawn.</w:t>
      </w:r>
    </w:p>
    <w:p w:rsidR="00000000" w:rsidDel="00000000" w:rsidP="00000000" w:rsidRDefault="00000000" w:rsidRPr="00000000" w14:paraId="0000001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numbers set out in Schedules “A” and “B” below are taken from the 2020-23 Collective Agreement and are subject to change in accordance with agreements reached in Schedule “C”.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spacing w:after="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Schedule “A” to Memorandum of Settlement for A Renewal Collective Agreement</w:t>
      </w:r>
      <w:r w:rsidDel="00000000" w:rsidR="00000000" w:rsidRPr="00000000">
        <w:rPr>
          <w:rtl w:val="0"/>
        </w:rPr>
      </w:r>
    </w:p>
    <w:p w:rsidR="00000000" w:rsidDel="00000000" w:rsidP="00000000" w:rsidRDefault="00000000" w:rsidRPr="00000000" w14:paraId="0000001F">
      <w:pPr>
        <w:spacing w:after="240" w:line="259"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Proposal Regarding Bill 124 Wage Re-Opener </w:t>
      </w:r>
      <w:r w:rsidDel="00000000" w:rsidR="00000000" w:rsidRPr="00000000">
        <w:rPr>
          <w:rtl w:val="0"/>
        </w:rPr>
      </w:r>
    </w:p>
    <w:p w:rsidR="00000000" w:rsidDel="00000000" w:rsidP="00000000" w:rsidRDefault="00000000" w:rsidRPr="00000000" w14:paraId="00000020">
      <w:pP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1">
      <w:pP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CUPE 3903 confirms its agreement that employees in the CUPE 3903 bargaining unit(s)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receive directly or indirectly from the Ontario government for lost or forgone compensation during the Bill 124 moderation period.</w:t>
      </w:r>
    </w:p>
    <w:p w:rsidR="00000000" w:rsidDel="00000000" w:rsidP="00000000" w:rsidRDefault="00000000" w:rsidRPr="00000000" w14:paraId="00000022">
      <w:pP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to be compliant with Bill 124.  If the parties are unable to reach agreement in this regard, Eli Gedalof will be seized as mediator, and if necessary, arbitrator, with respect to determining any remedies.</w:t>
      </w:r>
    </w:p>
    <w:p w:rsidR="00000000" w:rsidDel="00000000" w:rsidP="00000000" w:rsidRDefault="00000000" w:rsidRPr="00000000" w14:paraId="00000023">
      <w:pP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Effective September 1, 2022, an increase to Article 10.04.1 (Salary Rates) and Article 15.03.1 (Authorized Replacement) of 3.0%.</w:t>
      </w:r>
    </w:p>
    <w:p w:rsidR="00000000" w:rsidDel="00000000" w:rsidP="00000000" w:rsidRDefault="00000000" w:rsidRPr="00000000" w14:paraId="00000024">
      <w:pP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rsidR="00000000" w:rsidDel="00000000" w:rsidP="00000000" w:rsidRDefault="00000000" w:rsidRPr="00000000" w14:paraId="00000025">
      <w:pPr>
        <w:spacing w:after="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8">
      <w:pPr>
        <w:spacing w:after="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Proposals Regarding Salary and Collective Agreement Funds</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Article 10.04.1 (Salary Rates) and Article 15.03.1 (Authorized Replacement)</w:t>
      </w:r>
    </w:p>
    <w:p w:rsidR="00000000" w:rsidDel="00000000" w:rsidP="00000000" w:rsidRDefault="00000000" w:rsidRPr="00000000" w14:paraId="0000002A">
      <w:pPr>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Increase salary rates in 10.04.1 and authorized replacement rates in 15.03.1 by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effective September 1, 2023;</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September 1, 2024; </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September 1, 2025.</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br w:type="textWrapping"/>
        <w:t xml:space="preserve">        </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Collective Agreement Funds </w:t>
      </w:r>
      <w:r w:rsidDel="00000000" w:rsidR="00000000" w:rsidRPr="00000000">
        <w:rPr>
          <w:rFonts w:ascii="Calibri" w:cs="Calibri" w:eastAsia="Calibri" w:hAnsi="Calibri"/>
          <w:rtl w:val="0"/>
        </w:rPr>
        <w:br w:type="textWrapping"/>
        <w:tab/>
      </w:r>
    </w:p>
    <w:p w:rsidR="00000000" w:rsidDel="00000000" w:rsidP="00000000" w:rsidRDefault="00000000" w:rsidRPr="00000000" w14:paraId="00000031">
      <w:pPr>
        <w:ind w:firstLine="720"/>
        <w:rPr>
          <w:rFonts w:ascii="Calibri" w:cs="Calibri" w:eastAsia="Calibri" w:hAnsi="Calibri"/>
        </w:rPr>
      </w:pPr>
      <w:r w:rsidDel="00000000" w:rsidR="00000000" w:rsidRPr="00000000">
        <w:rPr>
          <w:rFonts w:ascii="Calibri" w:cs="Calibri" w:eastAsia="Calibri" w:hAnsi="Calibri"/>
          <w:color w:val="000000"/>
          <w:rtl w:val="0"/>
        </w:rPr>
        <w:t xml:space="preserve">Increase the following Funds by 1% in each of the 2023-24, 2024-25, and 2025-26 contract </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years:</w:t>
      </w:r>
      <w:r w:rsidDel="00000000" w:rsidR="00000000" w:rsidRPr="00000000">
        <w:rPr>
          <w:rFonts w:ascii="Calibri" w:cs="Calibri" w:eastAsia="Calibri" w:hAnsi="Calibri"/>
          <w:rtl w:val="0"/>
        </w:rPr>
        <w:br w:type="textWrapping"/>
      </w:r>
    </w:p>
    <w:tbl>
      <w:tblPr>
        <w:tblStyle w:val="Table1"/>
        <w:tblW w:w="5955.0" w:type="dxa"/>
        <w:jc w:val="left"/>
        <w:tblInd w:w="720.0" w:type="dxa"/>
        <w:tblLayout w:type="fixed"/>
        <w:tblLook w:val="0400"/>
      </w:tblPr>
      <w:tblGrid>
        <w:gridCol w:w="1980"/>
        <w:gridCol w:w="3975"/>
        <w:tblGridChange w:id="0">
          <w:tblGrid>
            <w:gridCol w:w="1980"/>
            <w:gridCol w:w="3975"/>
          </w:tblGrid>
        </w:tblGridChange>
      </w:tblGrid>
      <w:tr>
        <w:trPr>
          <w:cantSplit w:val="0"/>
          <w:trHeight w:val="285" w:hRule="atLeast"/>
          <w:tblHeader w:val="0"/>
        </w:trPr>
        <w:tc>
          <w:tcPr>
            <w:tcMar>
              <w:left w:w="108.0" w:type="dxa"/>
              <w:right w:w="108.0" w:type="dxa"/>
            </w:tcMar>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color w:val="000000"/>
                <w:rtl w:val="0"/>
              </w:rPr>
              <w:t xml:space="preserve">Article 15.12.1</w:t>
            </w:r>
            <w:r w:rsidDel="00000000" w:rsidR="00000000" w:rsidRPr="00000000">
              <w:rPr>
                <w:rtl w:val="0"/>
              </w:rPr>
            </w:r>
          </w:p>
        </w:tc>
        <w:tc>
          <w:tcPr>
            <w:tcMar>
              <w:left w:w="108.0" w:type="dxa"/>
              <w:right w:w="108.0" w:type="dxa"/>
            </w:tcMar>
            <w:vAlign w:val="bottom"/>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color w:val="000000"/>
                <w:rtl w:val="0"/>
              </w:rPr>
              <w:t xml:space="preserve">Childcare Fund</w:t>
            </w:r>
            <w:r w:rsidDel="00000000" w:rsidR="00000000" w:rsidRPr="00000000">
              <w:rPr>
                <w:rtl w:val="0"/>
              </w:rPr>
            </w:r>
          </w:p>
        </w:tc>
      </w:tr>
      <w:tr>
        <w:trPr>
          <w:cantSplit w:val="0"/>
          <w:trHeight w:val="285" w:hRule="atLeast"/>
          <w:tblHeader w:val="0"/>
        </w:trPr>
        <w:tc>
          <w:tcPr>
            <w:tcMar>
              <w:left w:w="108.0" w:type="dxa"/>
              <w:right w:w="108.0" w:type="dxa"/>
            </w:tcMar>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color w:val="000000"/>
                <w:rtl w:val="0"/>
              </w:rPr>
              <w:t xml:space="preserve">Article 15.19</w:t>
            </w:r>
            <w:r w:rsidDel="00000000" w:rsidR="00000000" w:rsidRPr="00000000">
              <w:rPr>
                <w:rtl w:val="0"/>
              </w:rPr>
            </w:r>
          </w:p>
        </w:tc>
        <w:tc>
          <w:tcPr>
            <w:tcMar>
              <w:left w:w="108.0" w:type="dxa"/>
              <w:right w:w="108.0" w:type="dxa"/>
            </w:tcMar>
            <w:vAlign w:val="bottom"/>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color w:val="000000"/>
                <w:rtl w:val="0"/>
              </w:rPr>
              <w:t xml:space="preserve">Professional Development Fund</w:t>
            </w:r>
            <w:r w:rsidDel="00000000" w:rsidR="00000000" w:rsidRPr="00000000">
              <w:rPr>
                <w:rtl w:val="0"/>
              </w:rPr>
            </w:r>
          </w:p>
        </w:tc>
      </w:tr>
      <w:tr>
        <w:trPr>
          <w:cantSplit w:val="0"/>
          <w:trHeight w:val="285" w:hRule="atLeast"/>
          <w:tblHeader w:val="0"/>
        </w:trPr>
        <w:tc>
          <w:tcPr>
            <w:tcMar>
              <w:left w:w="108.0" w:type="dxa"/>
              <w:right w:w="108.0" w:type="dxa"/>
            </w:tcMa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color w:val="000000"/>
                <w:rtl w:val="0"/>
              </w:rPr>
              <w:t xml:space="preserve">Article 15.24</w:t>
            </w:r>
            <w:r w:rsidDel="00000000" w:rsidR="00000000" w:rsidRPr="00000000">
              <w:rPr>
                <w:rtl w:val="0"/>
              </w:rPr>
            </w:r>
          </w:p>
        </w:tc>
        <w:tc>
          <w:tcPr>
            <w:tcMar>
              <w:left w:w="108.0" w:type="dxa"/>
              <w:right w:w="108.0" w:type="dxa"/>
            </w:tcMar>
            <w:vAlign w:val="bottom"/>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color w:val="000000"/>
                <w:rtl w:val="0"/>
              </w:rPr>
              <w:t xml:space="preserve">Equity Fund</w:t>
            </w:r>
            <w:r w:rsidDel="00000000" w:rsidR="00000000" w:rsidRPr="00000000">
              <w:rPr>
                <w:rtl w:val="0"/>
              </w:rPr>
            </w:r>
          </w:p>
        </w:tc>
      </w:tr>
      <w:tr>
        <w:trPr>
          <w:cantSplit w:val="0"/>
          <w:trHeight w:val="285" w:hRule="atLeast"/>
          <w:tblHeader w:val="0"/>
        </w:trPr>
        <w:tc>
          <w:tcPr>
            <w:tcMar>
              <w:left w:w="108.0" w:type="dxa"/>
              <w:right w:w="108.0" w:type="dxa"/>
            </w:tcMar>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color w:val="000000"/>
                <w:rtl w:val="0"/>
              </w:rPr>
              <w:t xml:space="preserve">Article 15.30</w:t>
            </w:r>
            <w:r w:rsidDel="00000000" w:rsidR="00000000" w:rsidRPr="00000000">
              <w:rPr>
                <w:rtl w:val="0"/>
              </w:rPr>
            </w:r>
          </w:p>
        </w:tc>
        <w:tc>
          <w:tcPr>
            <w:tcMar>
              <w:left w:w="108.0" w:type="dxa"/>
              <w:right w:w="108.0" w:type="dxa"/>
            </w:tcMar>
            <w:vAlign w:val="bottom"/>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color w:val="000000"/>
                <w:rtl w:val="0"/>
              </w:rPr>
              <w:t xml:space="preserve">CUPE 3903 Benefits Fund</w:t>
            </w:r>
            <w:r w:rsidDel="00000000" w:rsidR="00000000" w:rsidRPr="00000000">
              <w:rPr>
                <w:rtl w:val="0"/>
              </w:rPr>
            </w:r>
          </w:p>
        </w:tc>
      </w:tr>
      <w:tr>
        <w:trPr>
          <w:cantSplit w:val="0"/>
          <w:trHeight w:val="285" w:hRule="atLeast"/>
          <w:tblHeader w:val="0"/>
        </w:trPr>
        <w:tc>
          <w:tcPr>
            <w:tcMar>
              <w:left w:w="108.0" w:type="dxa"/>
              <w:right w:w="108.0" w:type="dxa"/>
            </w:tcMar>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color w:val="000000"/>
                <w:rtl w:val="0"/>
              </w:rPr>
              <w:t xml:space="preserve">Article 20</w:t>
            </w:r>
            <w:r w:rsidDel="00000000" w:rsidR="00000000" w:rsidRPr="00000000">
              <w:rPr>
                <w:rtl w:val="0"/>
              </w:rPr>
            </w:r>
          </w:p>
        </w:tc>
        <w:tc>
          <w:tcPr>
            <w:tcMar>
              <w:left w:w="108.0" w:type="dxa"/>
              <w:right w:w="108.0" w:type="dxa"/>
            </w:tcMar>
            <w:vAlign w:val="bottom"/>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color w:val="000000"/>
                <w:rtl w:val="0"/>
              </w:rPr>
              <w:t xml:space="preserve">Ways and Means Fund</w:t>
            </w:r>
            <w:r w:rsidDel="00000000" w:rsidR="00000000" w:rsidRPr="00000000">
              <w:rPr>
                <w:rtl w:val="0"/>
              </w:rPr>
            </w:r>
          </w:p>
        </w:tc>
      </w:tr>
    </w:tbl>
    <w:p w:rsidR="00000000" w:rsidDel="00000000" w:rsidP="00000000" w:rsidRDefault="00000000" w:rsidRPr="00000000" w14:paraId="0000003C">
      <w:pPr>
        <w:rPr>
          <w:rFonts w:ascii="Calibri" w:cs="Calibri" w:eastAsia="Calibri" w:hAnsi="Calibri"/>
          <w:color w:val="000000"/>
        </w:rPr>
        <w:sectPr>
          <w:headerReference r:id="rId7" w:type="default"/>
          <w:footerReference r:id="rId8"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D">
      <w:pPr>
        <w:spacing w:after="240" w:before="1"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3E">
      <w:pPr>
        <w:spacing w:after="240" w:before="1" w:lineRule="auto"/>
        <w:jc w:val="center"/>
        <w:rPr>
          <w:rFonts w:ascii="Calibri" w:cs="Calibri" w:eastAsia="Calibri" w:hAnsi="Calibri"/>
          <w:color w:val="d13438"/>
        </w:rPr>
      </w:pPr>
      <w:r w:rsidDel="00000000" w:rsidR="00000000" w:rsidRPr="00000000">
        <w:rPr>
          <w:rFonts w:ascii="Calibri" w:cs="Calibri" w:eastAsia="Calibri" w:hAnsi="Calibri"/>
          <w:b w:val="1"/>
          <w:color w:val="000000"/>
          <w:rtl w:val="0"/>
        </w:rPr>
        <w:t xml:space="preserve">Other Proposals </w:t>
      </w:r>
      <w:r w:rsidDel="00000000" w:rsidR="00000000" w:rsidRPr="00000000">
        <w:rPr>
          <w:rtl w:val="0"/>
        </w:rPr>
      </w:r>
    </w:p>
    <w:p w:rsidR="00000000" w:rsidDel="00000000" w:rsidP="00000000" w:rsidRDefault="00000000" w:rsidRPr="00000000" w14:paraId="0000003F">
      <w:pPr>
        <w:spacing w:after="240" w:before="1" w:lineRule="auto"/>
        <w:rPr>
          <w:rFonts w:ascii="Calibri" w:cs="Calibri" w:eastAsia="Calibri" w:hAnsi="Calibri"/>
        </w:rPr>
      </w:pPr>
      <w:r w:rsidDel="00000000" w:rsidR="00000000" w:rsidRPr="00000000">
        <w:rPr>
          <w:rFonts w:ascii="Calibri" w:cs="Calibri" w:eastAsia="Calibri" w:hAnsi="Calibri"/>
          <w:color w:val="000000"/>
          <w:rtl w:val="0"/>
        </w:rPr>
        <w:t xml:space="preserve">The University will be reviewing the proposals it has tabled to date as well as items of mutual interest from proposals tabled by CUPE and will provide a comprehensive set of proposals for settlement at the parties’ November 7 meeting or at the earliest date thereafter. Agreement to all proposals in this Comprehensive Framework, including Schedules “A” and “B”, is subject to agreement to all items that will be contained in Schedule “C”.</w:t>
      </w:r>
      <w:r w:rsidDel="00000000" w:rsidR="00000000" w:rsidRPr="00000000">
        <w:rPr>
          <w:rtl w:val="0"/>
        </w:rPr>
      </w:r>
    </w:p>
    <w:sectPr>
      <w:footerReference r:id="rId9"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900"/>
    </w:pPr>
    <w:rPr>
      <w:b w:val="1"/>
      <w:sz w:val="18"/>
      <w:szCs w:val="1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ind w:left="2900"/>
      <w:outlineLvl w:val="0"/>
    </w:pPr>
    <w:rPr>
      <w:b w:val="1"/>
      <w:bCs w:val="1"/>
      <w:sz w:val="18"/>
      <w:szCs w:val="18"/>
    </w:rPr>
  </w:style>
  <w:style w:type="paragraph" w:styleId="Heading2">
    <w:name w:val="heading 2"/>
    <w:basedOn w:val="Normal"/>
    <w:next w:val="Normal"/>
    <w:link w:val="Heading2Char"/>
    <w:uiPriority w:val="9"/>
    <w:unhideWhenUsed w:val="1"/>
    <w:qFormat w:val="1"/>
    <w:rsid w:val="00C15298"/>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qFormat w:val="1"/>
    <w:pPr>
      <w:ind w:left="1672"/>
    </w:pPr>
    <w:rPr>
      <w:sz w:val="18"/>
      <w:szCs w:val="18"/>
    </w:rPr>
  </w:style>
  <w:style w:type="paragraph" w:styleId="ListParagraph">
    <w:name w:val="List Paragraph"/>
    <w:basedOn w:val="Normal"/>
    <w:uiPriority w:val="34"/>
    <w:qFormat w:val="1"/>
    <w:pPr>
      <w:ind w:left="1672"/>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qFormat w:val="1"/>
    <w:rsid w:val="002F35EC"/>
    <w:pPr>
      <w:tabs>
        <w:tab w:val="center" w:pos="4680"/>
        <w:tab w:val="right" w:pos="9360"/>
      </w:tabs>
    </w:pPr>
  </w:style>
  <w:style w:type="character" w:styleId="HeaderChar" w:customStyle="1">
    <w:name w:val="Header Char"/>
    <w:basedOn w:val="DefaultParagraphFont"/>
    <w:link w:val="Header"/>
    <w:uiPriority w:val="99"/>
    <w:rsid w:val="002F35EC"/>
    <w:rPr>
      <w:rFonts w:ascii="Times New Roman" w:cs="Times New Roman" w:eastAsia="Times New Roman" w:hAnsi="Times New Roman"/>
    </w:rPr>
  </w:style>
  <w:style w:type="paragraph" w:styleId="Footer">
    <w:name w:val="footer"/>
    <w:basedOn w:val="Normal"/>
    <w:link w:val="FooterChar"/>
    <w:uiPriority w:val="99"/>
    <w:unhideWhenUsed w:val="1"/>
    <w:rsid w:val="002F35EC"/>
    <w:pPr>
      <w:tabs>
        <w:tab w:val="center" w:pos="4680"/>
        <w:tab w:val="right" w:pos="9360"/>
      </w:tabs>
    </w:pPr>
  </w:style>
  <w:style w:type="character" w:styleId="FooterChar" w:customStyle="1">
    <w:name w:val="Footer Char"/>
    <w:basedOn w:val="DefaultParagraphFont"/>
    <w:link w:val="Footer"/>
    <w:uiPriority w:val="99"/>
    <w:rsid w:val="002F35EC"/>
    <w:rPr>
      <w:rFonts w:ascii="Times New Roman" w:cs="Times New Roman" w:eastAsia="Times New Roman" w:hAnsi="Times New Roman"/>
    </w:rPr>
  </w:style>
  <w:style w:type="character" w:styleId="Roman" w:customStyle="1">
    <w:name w:val="Roman"/>
    <w:uiPriority w:val="99"/>
    <w:rsid w:val="00F66873"/>
    <w:rPr>
      <w:rFonts w:ascii="TimesNewRomanPSMT" w:cs="TimesNewRomanPSMT" w:hAnsi="TimesNewRomanPSMT"/>
      <w:color w:val="000000"/>
      <w:lang w:val="en-CA"/>
    </w:rPr>
  </w:style>
  <w:style w:type="paragraph" w:styleId="FootnoteText">
    <w:name w:val="footnote text"/>
    <w:basedOn w:val="Normal"/>
    <w:link w:val="FootnoteTextChar"/>
    <w:semiHidden w:val="1"/>
    <w:unhideWhenUsed w:val="1"/>
    <w:rsid w:val="00F66873"/>
    <w:rPr>
      <w:sz w:val="20"/>
      <w:szCs w:val="20"/>
    </w:rPr>
  </w:style>
  <w:style w:type="character" w:styleId="FootnoteTextChar" w:customStyle="1">
    <w:name w:val="Footnote Text Char"/>
    <w:basedOn w:val="DefaultParagraphFont"/>
    <w:link w:val="FootnoteText"/>
    <w:semiHidden w:val="1"/>
    <w:rsid w:val="00F66873"/>
    <w:rPr>
      <w:rFonts w:ascii="Times New Roman" w:cs="Times New Roman" w:eastAsia="Times New Roman" w:hAnsi="Times New Roman"/>
      <w:sz w:val="20"/>
      <w:szCs w:val="20"/>
    </w:rPr>
  </w:style>
  <w:style w:type="character" w:styleId="FootnoteReference">
    <w:name w:val="footnote reference"/>
    <w:basedOn w:val="DefaultParagraphFont"/>
    <w:uiPriority w:val="99"/>
    <w:semiHidden w:val="1"/>
    <w:unhideWhenUsed w:val="1"/>
    <w:rsid w:val="00F66873"/>
    <w:rPr>
      <w:vertAlign w:val="superscript"/>
    </w:rPr>
  </w:style>
  <w:style w:type="paragraph" w:styleId="Text" w:customStyle="1">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paragraph" w:styleId="TextHalfGap" w:customStyle="1">
    <w:name w:val="Text_HalfGap"/>
    <w:basedOn w:val="Text"/>
    <w:rsid w:val="007411DC"/>
    <w:pPr>
      <w:spacing w:after="100"/>
    </w:pPr>
  </w:style>
  <w:style w:type="character" w:styleId="Bold" w:customStyle="1">
    <w:name w:val="Bold"/>
    <w:uiPriority w:val="99"/>
    <w:rsid w:val="008060FD"/>
    <w:rPr>
      <w:rFonts w:ascii="TimesNewRomanPS-BoldMT" w:cs="TimesNewRomanPS-BoldMT" w:hAnsi="TimesNewRomanPS-BoldMT"/>
      <w:b w:val="1"/>
      <w:bCs w:val="1"/>
      <w:color w:val="000000"/>
      <w:lang w:val="en-CA"/>
    </w:rPr>
  </w:style>
  <w:style w:type="paragraph" w:styleId="TextNoGap" w:customStyle="1">
    <w:name w:val="Text_NoGap"/>
    <w:basedOn w:val="Text"/>
    <w:rsid w:val="008060FD"/>
    <w:pPr>
      <w:spacing w:after="0"/>
    </w:pPr>
  </w:style>
  <w:style w:type="character" w:styleId="Strong">
    <w:name w:val="Strong"/>
    <w:basedOn w:val="DefaultParagraphFont"/>
    <w:uiPriority w:val="22"/>
    <w:qFormat w:val="1"/>
    <w:rsid w:val="00C7417C"/>
    <w:rPr>
      <w:b w:val="1"/>
      <w:bCs w:val="1"/>
    </w:rPr>
  </w:style>
  <w:style w:type="character" w:styleId="FollowedHyperlink">
    <w:name w:val="FollowedHyperlink"/>
    <w:basedOn w:val="DefaultParagraphFont"/>
    <w:uiPriority w:val="99"/>
    <w:semiHidden w:val="1"/>
    <w:unhideWhenUsed w:val="1"/>
    <w:rsid w:val="00C7417C"/>
    <w:rPr>
      <w:color w:val="800080" w:themeColor="followedHyperlink"/>
      <w:u w:val="single"/>
    </w:rPr>
  </w:style>
  <w:style w:type="character" w:styleId="Hyperlink">
    <w:name w:val="Hyperlink"/>
    <w:basedOn w:val="DefaultParagraphFont"/>
    <w:uiPriority w:val="99"/>
    <w:unhideWhenUsed w:val="1"/>
    <w:rsid w:val="00BB39AA"/>
    <w:rPr>
      <w:color w:val="0000ff" w:themeColor="hyperlink"/>
      <w:u w:val="single"/>
    </w:rPr>
  </w:style>
  <w:style w:type="character" w:styleId="UnresolvedMention1" w:customStyle="1">
    <w:name w:val="Unresolved Mention1"/>
    <w:basedOn w:val="DefaultParagraphFont"/>
    <w:uiPriority w:val="99"/>
    <w:semiHidden w:val="1"/>
    <w:unhideWhenUsed w:val="1"/>
    <w:rsid w:val="00BB39AA"/>
    <w:rPr>
      <w:color w:val="605e5c"/>
      <w:shd w:color="auto" w:fill="e1dfdd" w:val="clear"/>
    </w:rPr>
  </w:style>
  <w:style w:type="character" w:styleId="CommentReference">
    <w:name w:val="annotation reference"/>
    <w:basedOn w:val="DefaultParagraphFont"/>
    <w:uiPriority w:val="99"/>
    <w:semiHidden w:val="1"/>
    <w:unhideWhenUsed w:val="1"/>
    <w:rsid w:val="00162D04"/>
    <w:rPr>
      <w:sz w:val="16"/>
      <w:szCs w:val="16"/>
    </w:rPr>
  </w:style>
  <w:style w:type="paragraph" w:styleId="CommentText">
    <w:name w:val="annotation text"/>
    <w:basedOn w:val="Normal"/>
    <w:link w:val="CommentTextChar"/>
    <w:uiPriority w:val="99"/>
    <w:unhideWhenUsed w:val="1"/>
    <w:rsid w:val="00162D04"/>
    <w:rPr>
      <w:sz w:val="20"/>
      <w:szCs w:val="20"/>
    </w:rPr>
  </w:style>
  <w:style w:type="character" w:styleId="CommentTextChar" w:customStyle="1">
    <w:name w:val="Comment Text Char"/>
    <w:basedOn w:val="DefaultParagraphFont"/>
    <w:link w:val="CommentText"/>
    <w:uiPriority w:val="99"/>
    <w:rsid w:val="00162D0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162D04"/>
    <w:rPr>
      <w:b w:val="1"/>
      <w:bCs w:val="1"/>
    </w:rPr>
  </w:style>
  <w:style w:type="character" w:styleId="CommentSubjectChar" w:customStyle="1">
    <w:name w:val="Comment Subject Char"/>
    <w:basedOn w:val="CommentTextChar"/>
    <w:link w:val="CommentSubject"/>
    <w:uiPriority w:val="99"/>
    <w:semiHidden w:val="1"/>
    <w:rsid w:val="00162D0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8B142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142F"/>
    <w:rPr>
      <w:rFonts w:ascii="Segoe UI" w:cs="Segoe UI" w:eastAsia="Times New Roman" w:hAnsi="Segoe UI"/>
      <w:sz w:val="18"/>
      <w:szCs w:val="18"/>
    </w:rPr>
  </w:style>
  <w:style w:type="character" w:styleId="Heading2Char" w:customStyle="1">
    <w:name w:val="Heading 2 Char"/>
    <w:basedOn w:val="DefaultParagraphFont"/>
    <w:link w:val="Heading2"/>
    <w:uiPriority w:val="9"/>
    <w:rsid w:val="00C15298"/>
    <w:rPr>
      <w:rFonts w:asciiTheme="majorHAnsi" w:cstheme="majorBidi" w:eastAsiaTheme="majorEastAsia" w:hAnsiTheme="majorHAnsi"/>
      <w:color w:val="365f91" w:themeColor="accent1" w:themeShade="0000BF"/>
      <w:sz w:val="26"/>
      <w:szCs w:val="26"/>
    </w:rPr>
  </w:style>
  <w:style w:type="character" w:styleId="Heading1Char" w:customStyle="1">
    <w:name w:val="Heading 1 Char"/>
    <w:basedOn w:val="DefaultParagraphFont"/>
    <w:link w:val="Heading1"/>
    <w:uiPriority w:val="9"/>
    <w:rsid w:val="00406B93"/>
    <w:rPr>
      <w:rFonts w:ascii="Times New Roman" w:cs="Times New Roman" w:eastAsia="Times New Roman" w:hAnsi="Times New Roman"/>
      <w:b w:val="1"/>
      <w:bCs w:val="1"/>
      <w:sz w:val="18"/>
      <w:szCs w:val="18"/>
    </w:rPr>
  </w:style>
  <w:style w:type="character" w:styleId="BodyTextChar" w:customStyle="1">
    <w:name w:val="Body Text Char"/>
    <w:basedOn w:val="DefaultParagraphFont"/>
    <w:link w:val="BodyText"/>
    <w:uiPriority w:val="99"/>
    <w:rsid w:val="00406B93"/>
    <w:rPr>
      <w:rFonts w:ascii="Times New Roman" w:cs="Times New Roman" w:eastAsia="Times New Roman" w:hAnsi="Times New Roman"/>
      <w:sz w:val="18"/>
      <w:szCs w:val="18"/>
    </w:rPr>
  </w:style>
  <w:style w:type="numbering" w:styleId="z-listNumA" w:customStyle="1">
    <w:name w:val="z-list Num_A"/>
    <w:basedOn w:val="NoList"/>
    <w:rsid w:val="008367B1"/>
    <w:pPr>
      <w:numPr>
        <w:numId w:val="42"/>
      </w:numPr>
    </w:pPr>
  </w:style>
  <w:style w:type="paragraph" w:styleId="NumA1" w:customStyle="1">
    <w:name w:val="Num_A 1"/>
    <w:basedOn w:val="Normal"/>
    <w:uiPriority w:val="19"/>
    <w:qFormat w:val="1"/>
    <w:rsid w:val="008367B1"/>
    <w:pPr>
      <w:widowControl w:val="1"/>
      <w:numPr>
        <w:numId w:val="41"/>
      </w:numPr>
      <w:autoSpaceDE w:val="1"/>
      <w:autoSpaceDN w:val="1"/>
      <w:spacing w:before="24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8367B1"/>
    <w:pPr>
      <w:widowControl w:val="1"/>
      <w:numPr>
        <w:ilvl w:val="1"/>
        <w:numId w:val="41"/>
      </w:numPr>
      <w:autoSpaceDE w:val="1"/>
      <w:autoSpaceDN w:val="1"/>
      <w:spacing w:before="24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8367B1"/>
    <w:pPr>
      <w:widowControl w:val="1"/>
      <w:numPr>
        <w:ilvl w:val="2"/>
        <w:numId w:val="41"/>
      </w:numPr>
      <w:autoSpaceDE w:val="1"/>
      <w:autoSpaceDN w:val="1"/>
      <w:spacing w:before="24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8367B1"/>
    <w:pPr>
      <w:widowControl w:val="1"/>
      <w:numPr>
        <w:ilvl w:val="3"/>
        <w:numId w:val="41"/>
      </w:numPr>
      <w:tabs>
        <w:tab w:val="clear" w:pos="2880"/>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8367B1"/>
    <w:pPr>
      <w:widowControl w:val="1"/>
      <w:numPr>
        <w:ilvl w:val="4"/>
        <w:numId w:val="41"/>
      </w:numPr>
      <w:tabs>
        <w:tab w:val="clear" w:pos="3600"/>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8367B1"/>
    <w:pPr>
      <w:widowControl w:val="1"/>
      <w:numPr>
        <w:ilvl w:val="5"/>
        <w:numId w:val="41"/>
      </w:numPr>
      <w:tabs>
        <w:tab w:val="clear" w:pos="4320"/>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8367B1"/>
    <w:pPr>
      <w:widowControl w:val="1"/>
      <w:numPr>
        <w:ilvl w:val="6"/>
        <w:numId w:val="41"/>
      </w:numPr>
      <w:tabs>
        <w:tab w:val="clear" w:pos="5040"/>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8367B1"/>
    <w:pPr>
      <w:widowControl w:val="1"/>
      <w:numPr>
        <w:ilvl w:val="7"/>
        <w:numId w:val="41"/>
      </w:numPr>
      <w:tabs>
        <w:tab w:val="clear" w:pos="5760"/>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8367B1"/>
    <w:pPr>
      <w:widowControl w:val="1"/>
      <w:numPr>
        <w:ilvl w:val="8"/>
        <w:numId w:val="41"/>
      </w:numPr>
      <w:tabs>
        <w:tab w:val="clear" w:pos="6480"/>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31B1D"/>
    <w:rPr>
      <w:color w:val="605e5c"/>
      <w:shd w:color="auto" w:fill="e1dfdd" w:val="clear"/>
    </w:rPr>
  </w:style>
  <w:style w:type="character" w:styleId="ScalaRegularScala" w:customStyle="1">
    <w:name w:val="Scala_Regular (Scala)"/>
    <w:uiPriority w:val="99"/>
    <w:rsid w:val="00476452"/>
    <w:rPr>
      <w:rFonts w:ascii="Scala-Regular" w:cs="Scala-Regular" w:hAnsi="Scala-Regular"/>
      <w:color w:val="000000"/>
      <w:lang w:val="en-CA"/>
    </w:rPr>
  </w:style>
  <w:style w:type="paragraph" w:styleId="TextAppendixQNoGap" w:customStyle="1">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markedcontent" w:customStyle="1">
    <w:name w:val="markedcontent"/>
    <w:basedOn w:val="DefaultParagraphFont"/>
    <w:rsid w:val="003223BF"/>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tH/SUzWp+UAbfXFUZOzBgZacA==">CgMxLjA4AHIhMWdtanI5MjRhRnI4bzhmVU5ibHluNUFwLVhUMjFTV2JK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2023-10-26T21:44:00Z</dcterms:created>
  <dc:creator>bisr590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